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A97A67" w14:textId="20B3DA77" w:rsidR="00B9276B" w:rsidRPr="00283C23" w:rsidRDefault="00EC7E85" w:rsidP="00EC7E85">
      <w:pPr>
        <w:spacing w:before="100" w:beforeAutospacing="1" w:after="100" w:afterAutospacing="1" w:line="384" w:lineRule="auto"/>
        <w:jc w:val="center"/>
        <w:rPr>
          <w:rFonts w:ascii="Arial" w:eastAsia="Times New Roman" w:hAnsi="Arial" w:cs="Arial"/>
          <w:sz w:val="21"/>
          <w:szCs w:val="21"/>
          <w:lang w:eastAsia="pt-BR"/>
        </w:rPr>
      </w:pPr>
      <w:r w:rsidRPr="00DA6921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MEDIDA PROVISÓRIA N.º 1227/2024 </w:t>
      </w:r>
      <w:r w:rsidR="00E34E43" w:rsidRPr="00DA6921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e a</w:t>
      </w:r>
      <w:r w:rsidRPr="00DA6921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 IN RFB N.º 2198/2024: O RISCO PERSISTE!</w:t>
      </w:r>
    </w:p>
    <w:p w14:paraId="3AC97173" w14:textId="2D38180B" w:rsidR="00B9276B" w:rsidRPr="00283C23" w:rsidRDefault="00B9276B" w:rsidP="00EC7E85">
      <w:pPr>
        <w:spacing w:before="100" w:beforeAutospacing="1" w:after="100" w:afterAutospacing="1" w:line="384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Em 11 de junho de 2024, o presidente do Senado, Rodrigo Pacheco,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através </w:t>
      </w:r>
      <w:r w:rsidRPr="00DA6921">
        <w:rPr>
          <w:rFonts w:ascii="Arial" w:hAnsi="Arial" w:cs="Arial"/>
          <w:sz w:val="21"/>
          <w:szCs w:val="21"/>
        </w:rPr>
        <w:t xml:space="preserve">do </w:t>
      </w:r>
      <w:hyperlink r:id="rId7" w:history="1">
        <w:r w:rsidRPr="00DA6921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Ato Declaratório do Presidente da Mesa do Congresso Nacional n.º 36, de 2024</w:t>
        </w:r>
      </w:hyperlink>
      <w:r w:rsidRPr="00DA6921">
        <w:rPr>
          <w:rFonts w:ascii="Arial" w:hAnsi="Arial" w:cs="Arial"/>
          <w:sz w:val="21"/>
          <w:szCs w:val="21"/>
        </w:rPr>
        <w:t xml:space="preserve">,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rejeitou parte </w:t>
      </w:r>
      <w:r w:rsidRPr="00DA6921">
        <w:rPr>
          <w:rFonts w:ascii="Arial" w:hAnsi="Arial" w:cs="Arial"/>
          <w:sz w:val="21"/>
          <w:szCs w:val="21"/>
        </w:rPr>
        <w:t xml:space="preserve">da </w:t>
      </w:r>
      <w:hyperlink r:id="rId8" w:history="1">
        <w:r w:rsidRPr="00DA6921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Medida Provisória n.º 1227/2024</w:t>
        </w:r>
      </w:hyperlink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, anulando os incisos III e IV do art. 1º, o art. 5º e o art. 6º, que revogavam </w:t>
      </w:r>
      <w:r w:rsidR="00146497">
        <w:rPr>
          <w:rFonts w:ascii="Arial" w:eastAsia="Times New Roman" w:hAnsi="Arial" w:cs="Arial"/>
          <w:sz w:val="21"/>
          <w:szCs w:val="21"/>
          <w:lang w:eastAsia="pt-BR"/>
        </w:rPr>
        <w:t xml:space="preserve">as hipóteses de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ressarcimento e compensaç</w:t>
      </w:r>
      <w:r w:rsidR="00146497">
        <w:rPr>
          <w:rFonts w:ascii="Arial" w:eastAsia="Times New Roman" w:hAnsi="Arial" w:cs="Arial"/>
          <w:sz w:val="21"/>
          <w:szCs w:val="21"/>
          <w:lang w:eastAsia="pt-BR"/>
        </w:rPr>
        <w:t>ão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de crédito</w:t>
      </w:r>
      <w:r w:rsidR="00146497">
        <w:rPr>
          <w:rFonts w:ascii="Arial" w:eastAsia="Times New Roman" w:hAnsi="Arial" w:cs="Arial"/>
          <w:sz w:val="21"/>
          <w:szCs w:val="21"/>
          <w:lang w:eastAsia="pt-BR"/>
        </w:rPr>
        <w:t xml:space="preserve"> presumidos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do PIS/Pasep e </w:t>
      </w:r>
      <w:proofErr w:type="spellStart"/>
      <w:r w:rsidRPr="00283C23">
        <w:rPr>
          <w:rFonts w:ascii="Arial" w:eastAsia="Times New Roman" w:hAnsi="Arial" w:cs="Arial"/>
          <w:sz w:val="21"/>
          <w:szCs w:val="21"/>
          <w:lang w:eastAsia="pt-BR"/>
        </w:rPr>
        <w:t>Cofins</w:t>
      </w:r>
      <w:proofErr w:type="spellEnd"/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, além de limitar a compensação </w:t>
      </w:r>
      <w:r w:rsidR="00146497" w:rsidRPr="00146497">
        <w:rPr>
          <w:rFonts w:ascii="Arial" w:eastAsia="Times New Roman" w:hAnsi="Arial" w:cs="Arial"/>
          <w:sz w:val="21"/>
          <w:szCs w:val="21"/>
          <w:lang w:eastAsia="pt-BR"/>
        </w:rPr>
        <w:t>dos créditos dessas contribuições com outros tributos administrados pela Receita Federal do Brasil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14:paraId="5D12184F" w14:textId="09241D2C" w:rsidR="00B9276B" w:rsidRPr="00283C23" w:rsidRDefault="00B9276B" w:rsidP="00EC7E85">
      <w:pPr>
        <w:spacing w:before="100" w:beforeAutospacing="1" w:after="100" w:afterAutospacing="1" w:line="384" w:lineRule="auto"/>
        <w:ind w:firstLine="36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83C23">
        <w:rPr>
          <w:rFonts w:ascii="Arial" w:eastAsia="Times New Roman" w:hAnsi="Arial" w:cs="Arial"/>
          <w:sz w:val="21"/>
          <w:szCs w:val="21"/>
          <w:lang w:eastAsia="pt-BR"/>
        </w:rPr>
        <w:t>A parte não rejeitada da MP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DA6921">
        <w:rPr>
          <w:rFonts w:ascii="Arial" w:hAnsi="Arial" w:cs="Arial"/>
          <w:sz w:val="21"/>
          <w:szCs w:val="21"/>
        </w:rPr>
        <w:t>continuou a tramitar no Congresso Nacional, produzindo efeitos em relação às suas previsões, no sentido de: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(i)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Delegar aos Municípios a competência para julgar processos administrativos relativos ao Imposto sobre a Propriedade Territorial Rural (ITR)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; </w:t>
      </w:r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(</w:t>
      </w:r>
      <w:proofErr w:type="spellStart"/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ii</w:t>
      </w:r>
      <w:proofErr w:type="spellEnd"/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 xml:space="preserve">)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Fixar novas condições para benefícios fiscais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e </w:t>
      </w:r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(</w:t>
      </w:r>
      <w:proofErr w:type="spellStart"/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iii</w:t>
      </w:r>
      <w:proofErr w:type="spellEnd"/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 xml:space="preserve">)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>i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mpor multas pela inobservância dessas exigências.</w:t>
      </w:r>
    </w:p>
    <w:p w14:paraId="1A3B83E4" w14:textId="4DAF8CD0" w:rsidR="00B9276B" w:rsidRPr="00283C23" w:rsidRDefault="00B9276B" w:rsidP="00EC7E85">
      <w:pPr>
        <w:spacing w:before="100" w:beforeAutospacing="1" w:after="100" w:afterAutospacing="1" w:line="384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Delegação da </w:t>
      </w:r>
      <w:r w:rsidR="00167B4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c</w:t>
      </w: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ompetência para </w:t>
      </w:r>
      <w:r w:rsidR="00167B4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j</w:t>
      </w: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ulgamento do ITR</w:t>
      </w:r>
    </w:p>
    <w:p w14:paraId="311DCB69" w14:textId="0D64ED9C" w:rsidR="00E61CC9" w:rsidRDefault="00EF1670" w:rsidP="00EC7E85">
      <w:pPr>
        <w:spacing w:before="100" w:beforeAutospacing="1" w:after="100" w:afterAutospacing="1" w:line="384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>
        <w:rPr>
          <w:rFonts w:ascii="Arial" w:eastAsia="Times New Roman" w:hAnsi="Arial" w:cs="Arial"/>
          <w:sz w:val="21"/>
          <w:szCs w:val="21"/>
          <w:lang w:eastAsia="pt-BR"/>
        </w:rPr>
        <w:t>Antes da MP</w:t>
      </w:r>
      <w:r w:rsidR="009D5769">
        <w:rPr>
          <w:rFonts w:ascii="Arial" w:eastAsia="Times New Roman" w:hAnsi="Arial" w:cs="Arial"/>
          <w:sz w:val="21"/>
          <w:szCs w:val="21"/>
          <w:lang w:eastAsia="pt-BR"/>
        </w:rPr>
        <w:t xml:space="preserve"> 1227</w:t>
      </w:r>
      <w:r w:rsidR="00B9276B"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, a Receita Federal julgava </w:t>
      </w:r>
      <w:r w:rsidR="00271E62">
        <w:rPr>
          <w:rFonts w:ascii="Arial" w:eastAsia="Times New Roman" w:hAnsi="Arial" w:cs="Arial"/>
          <w:sz w:val="21"/>
          <w:szCs w:val="21"/>
          <w:lang w:eastAsia="pt-BR"/>
        </w:rPr>
        <w:t xml:space="preserve">as impugnações </w:t>
      </w:r>
      <w:r w:rsidR="008D10FB">
        <w:rPr>
          <w:rFonts w:ascii="Arial" w:eastAsia="Times New Roman" w:hAnsi="Arial" w:cs="Arial"/>
          <w:sz w:val="21"/>
          <w:szCs w:val="21"/>
          <w:lang w:eastAsia="pt-BR"/>
        </w:rPr>
        <w:t>ao</w:t>
      </w:r>
      <w:r w:rsidR="00B9276B"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ITR, </w:t>
      </w:r>
      <w:r>
        <w:rPr>
          <w:rFonts w:ascii="Arial" w:eastAsia="Times New Roman" w:hAnsi="Arial" w:cs="Arial"/>
          <w:sz w:val="21"/>
          <w:szCs w:val="21"/>
          <w:lang w:eastAsia="pt-BR"/>
        </w:rPr>
        <w:t>ainda que</w:t>
      </w:r>
      <w:r w:rsidR="00A54077">
        <w:rPr>
          <w:rFonts w:ascii="Arial" w:eastAsia="Times New Roman" w:hAnsi="Arial" w:cs="Arial"/>
          <w:sz w:val="21"/>
          <w:szCs w:val="21"/>
          <w:lang w:eastAsia="pt-BR"/>
        </w:rPr>
        <w:t xml:space="preserve"> a fiscalização do tributo fosse realizada </w:t>
      </w:r>
      <w:r w:rsidR="00E267DA">
        <w:rPr>
          <w:rFonts w:ascii="Arial" w:eastAsia="Times New Roman" w:hAnsi="Arial" w:cs="Arial"/>
          <w:sz w:val="21"/>
          <w:szCs w:val="21"/>
          <w:lang w:eastAsia="pt-BR"/>
        </w:rPr>
        <w:t xml:space="preserve">pelo </w:t>
      </w:r>
      <w:r w:rsidR="00271E62">
        <w:rPr>
          <w:rFonts w:ascii="Arial" w:eastAsia="Times New Roman" w:hAnsi="Arial" w:cs="Arial"/>
          <w:sz w:val="21"/>
          <w:szCs w:val="21"/>
          <w:lang w:eastAsia="pt-BR"/>
        </w:rPr>
        <w:t>município</w:t>
      </w:r>
      <w:r w:rsidR="00B9276B"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. Agora, os Municípios e o Distrito Federal, além de fiscalizar, julgarão recursos administrativos do ITR. </w:t>
      </w:r>
      <w:r w:rsidR="005524F1">
        <w:rPr>
          <w:rFonts w:ascii="Arial" w:eastAsia="Times New Roman" w:hAnsi="Arial" w:cs="Arial"/>
          <w:sz w:val="21"/>
          <w:szCs w:val="21"/>
          <w:lang w:eastAsia="pt-BR"/>
        </w:rPr>
        <w:t>E</w:t>
      </w:r>
      <w:r w:rsidR="00E61CC9" w:rsidRPr="00E61CC9">
        <w:rPr>
          <w:rFonts w:ascii="Arial" w:eastAsia="Times New Roman" w:hAnsi="Arial" w:cs="Arial"/>
          <w:sz w:val="21"/>
          <w:szCs w:val="21"/>
          <w:lang w:eastAsia="pt-BR"/>
        </w:rPr>
        <w:t>ssa mudança pode</w:t>
      </w:r>
      <w:r w:rsidR="005524F1">
        <w:rPr>
          <w:rFonts w:ascii="Arial" w:eastAsia="Times New Roman" w:hAnsi="Arial" w:cs="Arial"/>
          <w:sz w:val="21"/>
          <w:szCs w:val="21"/>
          <w:lang w:eastAsia="pt-BR"/>
        </w:rPr>
        <w:t xml:space="preserve"> fomentar </w:t>
      </w:r>
      <w:r w:rsidR="00853D8C">
        <w:rPr>
          <w:rFonts w:ascii="Arial" w:eastAsia="Times New Roman" w:hAnsi="Arial" w:cs="Arial"/>
          <w:sz w:val="21"/>
          <w:szCs w:val="21"/>
          <w:lang w:eastAsia="pt-BR"/>
        </w:rPr>
        <w:t xml:space="preserve">diferentes interpretações </w:t>
      </w:r>
      <w:r w:rsidR="005C2873">
        <w:rPr>
          <w:rFonts w:ascii="Arial" w:eastAsia="Times New Roman" w:hAnsi="Arial" w:cs="Arial"/>
          <w:sz w:val="21"/>
          <w:szCs w:val="21"/>
          <w:lang w:eastAsia="pt-BR"/>
        </w:rPr>
        <w:t>d</w:t>
      </w:r>
      <w:r w:rsidR="00E61CC9" w:rsidRPr="00E61CC9">
        <w:rPr>
          <w:rFonts w:ascii="Arial" w:eastAsia="Times New Roman" w:hAnsi="Arial" w:cs="Arial"/>
          <w:sz w:val="21"/>
          <w:szCs w:val="21"/>
          <w:lang w:eastAsia="pt-BR"/>
        </w:rPr>
        <w:t xml:space="preserve">as </w:t>
      </w:r>
      <w:r w:rsidR="00853D8C">
        <w:rPr>
          <w:rFonts w:ascii="Arial" w:eastAsia="Times New Roman" w:hAnsi="Arial" w:cs="Arial"/>
          <w:sz w:val="21"/>
          <w:szCs w:val="21"/>
          <w:lang w:eastAsia="pt-BR"/>
        </w:rPr>
        <w:t xml:space="preserve">regras </w:t>
      </w:r>
      <w:r w:rsidR="00196EF7">
        <w:rPr>
          <w:rFonts w:ascii="Arial" w:eastAsia="Times New Roman" w:hAnsi="Arial" w:cs="Arial"/>
          <w:sz w:val="21"/>
          <w:szCs w:val="21"/>
          <w:lang w:eastAsia="pt-BR"/>
        </w:rPr>
        <w:t xml:space="preserve">para exigência </w:t>
      </w:r>
      <w:r w:rsidR="00853D8C">
        <w:rPr>
          <w:rFonts w:ascii="Arial" w:eastAsia="Times New Roman" w:hAnsi="Arial" w:cs="Arial"/>
          <w:sz w:val="21"/>
          <w:szCs w:val="21"/>
          <w:lang w:eastAsia="pt-BR"/>
        </w:rPr>
        <w:t xml:space="preserve">do imposto rural </w:t>
      </w:r>
      <w:r w:rsidR="00133C4D">
        <w:rPr>
          <w:rFonts w:ascii="Arial" w:eastAsia="Times New Roman" w:hAnsi="Arial" w:cs="Arial"/>
          <w:sz w:val="21"/>
          <w:szCs w:val="21"/>
          <w:lang w:eastAsia="pt-BR"/>
        </w:rPr>
        <w:t xml:space="preserve">e </w:t>
      </w:r>
      <w:r w:rsidR="00196EF7">
        <w:rPr>
          <w:rFonts w:ascii="Arial" w:eastAsia="Times New Roman" w:hAnsi="Arial" w:cs="Arial"/>
          <w:sz w:val="21"/>
          <w:szCs w:val="21"/>
          <w:lang w:eastAsia="pt-BR"/>
        </w:rPr>
        <w:t>permitir que</w:t>
      </w:r>
      <w:r w:rsidR="00853D8C">
        <w:rPr>
          <w:rFonts w:ascii="Arial" w:eastAsia="Times New Roman" w:hAnsi="Arial" w:cs="Arial"/>
          <w:sz w:val="21"/>
          <w:szCs w:val="21"/>
          <w:lang w:eastAsia="pt-BR"/>
        </w:rPr>
        <w:t xml:space="preserve"> o </w:t>
      </w:r>
      <w:r w:rsidR="00133C4D"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chefe do Executivo municipal </w:t>
      </w:r>
      <w:r w:rsidR="005C2873">
        <w:rPr>
          <w:rFonts w:ascii="Arial" w:eastAsia="Times New Roman" w:hAnsi="Arial" w:cs="Arial"/>
          <w:sz w:val="21"/>
          <w:szCs w:val="21"/>
          <w:lang w:eastAsia="pt-BR"/>
        </w:rPr>
        <w:t>tenha</w:t>
      </w:r>
      <w:r w:rsidR="00196EF7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0A25F4">
        <w:rPr>
          <w:rFonts w:ascii="Arial" w:eastAsia="Times New Roman" w:hAnsi="Arial" w:cs="Arial"/>
          <w:sz w:val="21"/>
          <w:szCs w:val="21"/>
          <w:lang w:eastAsia="pt-BR"/>
        </w:rPr>
        <w:t xml:space="preserve">a última palavra sobre </w:t>
      </w:r>
      <w:r w:rsidR="00133C4D" w:rsidRPr="00DA6921">
        <w:rPr>
          <w:rFonts w:ascii="Arial" w:eastAsia="Times New Roman" w:hAnsi="Arial" w:cs="Arial"/>
          <w:sz w:val="21"/>
          <w:szCs w:val="21"/>
          <w:lang w:eastAsia="pt-BR"/>
        </w:rPr>
        <w:t>as impugnações fiscais</w:t>
      </w:r>
      <w:r w:rsidR="00133C4D" w:rsidRPr="00DA6921">
        <w:rPr>
          <w:rFonts w:ascii="Arial" w:hAnsi="Arial" w:cs="Arial"/>
          <w:sz w:val="21"/>
          <w:szCs w:val="21"/>
        </w:rPr>
        <w:t>.</w:t>
      </w:r>
    </w:p>
    <w:p w14:paraId="186AC7F6" w14:textId="769C4B62" w:rsidR="00146129" w:rsidRDefault="002D5A45" w:rsidP="00792ACA">
      <w:pPr>
        <w:spacing w:before="100" w:beforeAutospacing="1" w:after="100" w:afterAutospacing="1" w:line="384" w:lineRule="auto"/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Além disso, essa</w:t>
      </w:r>
      <w:r w:rsidR="00682AE3">
        <w:rPr>
          <w:rFonts w:ascii="Arial" w:hAnsi="Arial" w:cs="Arial"/>
          <w:sz w:val="21"/>
          <w:szCs w:val="21"/>
        </w:rPr>
        <w:t xml:space="preserve"> delegação d</w:t>
      </w:r>
      <w:r w:rsidR="004B7196">
        <w:rPr>
          <w:rFonts w:ascii="Arial" w:hAnsi="Arial" w:cs="Arial"/>
          <w:sz w:val="21"/>
          <w:szCs w:val="21"/>
        </w:rPr>
        <w:t>a</w:t>
      </w:r>
      <w:r w:rsidR="00682AE3">
        <w:rPr>
          <w:rFonts w:ascii="Arial" w:hAnsi="Arial" w:cs="Arial"/>
          <w:sz w:val="21"/>
          <w:szCs w:val="21"/>
        </w:rPr>
        <w:t xml:space="preserve"> competência</w:t>
      </w:r>
      <w:r w:rsidR="004B7196">
        <w:rPr>
          <w:rFonts w:ascii="Arial" w:hAnsi="Arial" w:cs="Arial"/>
          <w:sz w:val="21"/>
          <w:szCs w:val="21"/>
        </w:rPr>
        <w:t xml:space="preserve"> </w:t>
      </w:r>
      <w:r w:rsidR="00F261B2">
        <w:rPr>
          <w:rFonts w:ascii="Arial" w:hAnsi="Arial" w:cs="Arial"/>
          <w:sz w:val="21"/>
          <w:szCs w:val="21"/>
        </w:rPr>
        <w:t xml:space="preserve">contraria </w:t>
      </w:r>
      <w:r w:rsidR="00507157" w:rsidRPr="00DA6921">
        <w:rPr>
          <w:rFonts w:ascii="Arial" w:hAnsi="Arial" w:cs="Arial"/>
          <w:sz w:val="21"/>
          <w:szCs w:val="21"/>
        </w:rPr>
        <w:t>o art. 153, § 4º, III da Constituição Federal</w:t>
      </w:r>
      <w:r w:rsidR="00507157">
        <w:rPr>
          <w:rFonts w:ascii="Arial" w:hAnsi="Arial" w:cs="Arial"/>
          <w:sz w:val="21"/>
          <w:szCs w:val="21"/>
        </w:rPr>
        <w:t>,</w:t>
      </w:r>
      <w:r w:rsidR="003F24F2">
        <w:rPr>
          <w:rFonts w:ascii="Arial" w:hAnsi="Arial" w:cs="Arial"/>
          <w:sz w:val="21"/>
          <w:szCs w:val="21"/>
        </w:rPr>
        <w:t xml:space="preserve"> </w:t>
      </w:r>
      <w:r w:rsidR="003F24F2" w:rsidRPr="003F24F2">
        <w:rPr>
          <w:rFonts w:ascii="Arial" w:hAnsi="Arial" w:cs="Arial"/>
          <w:sz w:val="21"/>
          <w:szCs w:val="21"/>
        </w:rPr>
        <w:t>que só autoriza a fiscalização e a cobrança do tributo pelos Municípios</w:t>
      </w:r>
      <w:r w:rsidR="003F24F2">
        <w:rPr>
          <w:rFonts w:ascii="Arial" w:hAnsi="Arial" w:cs="Arial"/>
          <w:sz w:val="21"/>
          <w:szCs w:val="21"/>
        </w:rPr>
        <w:t>, mas não o julgamento</w:t>
      </w:r>
      <w:r w:rsidR="00507157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 processos administrativo</w:t>
      </w:r>
      <w:r w:rsidR="00792ACA">
        <w:rPr>
          <w:rFonts w:ascii="Arial" w:hAnsi="Arial" w:cs="Arial"/>
          <w:sz w:val="21"/>
          <w:szCs w:val="21"/>
        </w:rPr>
        <w:t>s</w:t>
      </w:r>
      <w:r>
        <w:rPr>
          <w:rFonts w:ascii="Arial" w:hAnsi="Arial" w:cs="Arial"/>
          <w:sz w:val="21"/>
          <w:szCs w:val="21"/>
        </w:rPr>
        <w:t xml:space="preserve"> do ITR</w:t>
      </w:r>
      <w:r w:rsidR="0058448C">
        <w:rPr>
          <w:rFonts w:ascii="Arial" w:hAnsi="Arial" w:cs="Arial"/>
          <w:sz w:val="21"/>
          <w:szCs w:val="21"/>
        </w:rPr>
        <w:t>.</w:t>
      </w:r>
      <w:r w:rsidR="00792ACA">
        <w:rPr>
          <w:rFonts w:ascii="Arial" w:hAnsi="Arial" w:cs="Arial"/>
          <w:sz w:val="21"/>
          <w:szCs w:val="21"/>
        </w:rPr>
        <w:t xml:space="preserve"> </w:t>
      </w:r>
      <w:r w:rsidR="00146129">
        <w:rPr>
          <w:rFonts w:ascii="Arial" w:hAnsi="Arial" w:cs="Arial"/>
          <w:sz w:val="21"/>
          <w:szCs w:val="21"/>
        </w:rPr>
        <w:t>Fora isso</w:t>
      </w:r>
      <w:r w:rsidR="00792ACA">
        <w:rPr>
          <w:rFonts w:ascii="Arial" w:hAnsi="Arial" w:cs="Arial"/>
          <w:sz w:val="21"/>
          <w:szCs w:val="21"/>
        </w:rPr>
        <w:t xml:space="preserve">, </w:t>
      </w:r>
      <w:r w:rsidR="00A505CF">
        <w:rPr>
          <w:rFonts w:ascii="Arial" w:hAnsi="Arial" w:cs="Arial"/>
          <w:sz w:val="21"/>
          <w:szCs w:val="21"/>
        </w:rPr>
        <w:t xml:space="preserve">a matéria </w:t>
      </w:r>
      <w:r w:rsidR="00146129">
        <w:rPr>
          <w:rFonts w:ascii="Arial" w:hAnsi="Arial" w:cs="Arial"/>
          <w:sz w:val="21"/>
          <w:szCs w:val="21"/>
        </w:rPr>
        <w:t>n</w:t>
      </w:r>
      <w:r w:rsidR="00146129" w:rsidRPr="00146129">
        <w:rPr>
          <w:rFonts w:ascii="Arial" w:hAnsi="Arial" w:cs="Arial"/>
          <w:sz w:val="21"/>
          <w:szCs w:val="21"/>
        </w:rPr>
        <w:t xml:space="preserve">ão cumpre os requisitos de relevância e urgência necessários para </w:t>
      </w:r>
      <w:r w:rsidR="00081E71">
        <w:rPr>
          <w:rFonts w:ascii="Arial" w:hAnsi="Arial" w:cs="Arial"/>
          <w:sz w:val="21"/>
          <w:szCs w:val="21"/>
        </w:rPr>
        <w:t>editar</w:t>
      </w:r>
      <w:r w:rsidR="00146129" w:rsidRPr="00146129">
        <w:rPr>
          <w:rFonts w:ascii="Arial" w:hAnsi="Arial" w:cs="Arial"/>
          <w:sz w:val="21"/>
          <w:szCs w:val="21"/>
        </w:rPr>
        <w:t xml:space="preserve"> medidas provisórias, conforme exige a Constituição</w:t>
      </w:r>
      <w:r w:rsidR="00081E71">
        <w:rPr>
          <w:rFonts w:ascii="Arial" w:hAnsi="Arial" w:cs="Arial"/>
          <w:sz w:val="21"/>
          <w:szCs w:val="21"/>
        </w:rPr>
        <w:t>.</w:t>
      </w:r>
    </w:p>
    <w:p w14:paraId="64D66876" w14:textId="77777777" w:rsidR="00B26441" w:rsidRDefault="00B26441" w:rsidP="00EC7E85">
      <w:pPr>
        <w:spacing w:before="100" w:beforeAutospacing="1" w:after="100" w:afterAutospacing="1" w:line="384" w:lineRule="auto"/>
        <w:jc w:val="both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</w:p>
    <w:p w14:paraId="2B7CFECA" w14:textId="63F26340" w:rsidR="00B9276B" w:rsidRPr="00283C23" w:rsidRDefault="00B9276B" w:rsidP="00EC7E85">
      <w:pPr>
        <w:spacing w:before="100" w:beforeAutospacing="1" w:after="100" w:afterAutospacing="1" w:line="384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lastRenderedPageBreak/>
        <w:t xml:space="preserve">Novas </w:t>
      </w:r>
      <w:r w:rsidR="001C0899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c</w:t>
      </w: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ondicionantes para </w:t>
      </w:r>
      <w:r w:rsidR="00167B4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b</w:t>
      </w: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enefícios </w:t>
      </w:r>
      <w:r w:rsidR="00167B45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f</w:t>
      </w: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iscais</w:t>
      </w:r>
    </w:p>
    <w:p w14:paraId="75474D64" w14:textId="541718C5" w:rsidR="00B9276B" w:rsidRPr="00283C23" w:rsidRDefault="00B9276B" w:rsidP="00EC7E85">
      <w:pPr>
        <w:spacing w:before="100" w:beforeAutospacing="1" w:after="100" w:afterAutospacing="1" w:line="384" w:lineRule="auto"/>
        <w:ind w:firstLine="36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83C23">
        <w:rPr>
          <w:rFonts w:ascii="Arial" w:eastAsia="Times New Roman" w:hAnsi="Arial" w:cs="Arial"/>
          <w:sz w:val="21"/>
          <w:szCs w:val="21"/>
          <w:lang w:eastAsia="pt-BR"/>
        </w:rPr>
        <w:t>A MP</w:t>
      </w:r>
      <w:r w:rsidR="00081E71">
        <w:rPr>
          <w:rFonts w:ascii="Arial" w:eastAsia="Times New Roman" w:hAnsi="Arial" w:cs="Arial"/>
          <w:sz w:val="21"/>
          <w:szCs w:val="21"/>
          <w:lang w:eastAsia="pt-BR"/>
        </w:rPr>
        <w:t xml:space="preserve"> 1227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impõe novas condições para a fruição de benefícios fiscais</w:t>
      </w:r>
      <w:r w:rsidR="00081E71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02541A">
        <w:rPr>
          <w:rFonts w:ascii="Arial" w:eastAsia="Times New Roman" w:hAnsi="Arial" w:cs="Arial"/>
          <w:sz w:val="21"/>
          <w:szCs w:val="21"/>
          <w:lang w:eastAsia="pt-BR"/>
        </w:rPr>
        <w:t>exigindo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: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 xml:space="preserve">(i) </w:t>
      </w:r>
      <w:r w:rsidR="0002541A">
        <w:rPr>
          <w:rFonts w:ascii="Arial" w:eastAsia="Times New Roman" w:hAnsi="Arial" w:cs="Arial"/>
          <w:sz w:val="21"/>
          <w:szCs w:val="21"/>
          <w:lang w:eastAsia="pt-BR"/>
        </w:rPr>
        <w:t>e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star em dia com tributos e contribuições federais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; </w:t>
      </w:r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(</w:t>
      </w:r>
      <w:proofErr w:type="spellStart"/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ii</w:t>
      </w:r>
      <w:proofErr w:type="spellEnd"/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 xml:space="preserve">)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usência de pendências no Cadin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; </w:t>
      </w:r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(</w:t>
      </w:r>
      <w:proofErr w:type="spellStart"/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iii</w:t>
      </w:r>
      <w:proofErr w:type="spellEnd"/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 xml:space="preserve">)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>r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egularidade com o FGTS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; </w:t>
      </w:r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(</w:t>
      </w:r>
      <w:proofErr w:type="spellStart"/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>iv</w:t>
      </w:r>
      <w:proofErr w:type="spellEnd"/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 xml:space="preserve">)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>i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nexistência de sanções por improbidade administrativa ou infrações ambientais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; </w:t>
      </w:r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 xml:space="preserve">(v)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desão ao Domicílio Tributário Eletrônico (DTE) e </w:t>
      </w:r>
      <w:r w:rsidRPr="00DA6921">
        <w:rPr>
          <w:rFonts w:ascii="Arial" w:eastAsia="Times New Roman" w:hAnsi="Arial" w:cs="Arial"/>
          <w:b/>
          <w:bCs/>
          <w:i/>
          <w:iCs/>
          <w:sz w:val="21"/>
          <w:szCs w:val="21"/>
          <w:lang w:eastAsia="pt-BR"/>
        </w:rPr>
        <w:t xml:space="preserve">(vi)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manutenção da regularidade cadastral.</w:t>
      </w:r>
    </w:p>
    <w:p w14:paraId="4B70F681" w14:textId="2B302F00" w:rsidR="00B9276B" w:rsidRPr="00283C23" w:rsidRDefault="0002541A" w:rsidP="00EC7E85">
      <w:pPr>
        <w:spacing w:before="100" w:beforeAutospacing="1" w:after="100" w:afterAutospacing="1" w:line="384" w:lineRule="auto"/>
        <w:ind w:firstLine="36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>
        <w:rPr>
          <w:rFonts w:ascii="Arial" w:eastAsia="Times New Roman" w:hAnsi="Arial" w:cs="Arial"/>
          <w:sz w:val="21"/>
          <w:szCs w:val="21"/>
          <w:lang w:eastAsia="pt-BR"/>
        </w:rPr>
        <w:t>Acontece que, essa</w:t>
      </w:r>
      <w:r w:rsidR="00385DBF">
        <w:rPr>
          <w:rFonts w:ascii="Arial" w:eastAsia="Times New Roman" w:hAnsi="Arial" w:cs="Arial"/>
          <w:sz w:val="21"/>
          <w:szCs w:val="21"/>
          <w:lang w:eastAsia="pt-BR"/>
        </w:rPr>
        <w:t>s</w:t>
      </w:r>
      <w:r w:rsidR="00B9276B"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medidas aumentam a </w:t>
      </w:r>
      <w:r w:rsidR="00385DBF">
        <w:rPr>
          <w:rFonts w:ascii="Arial" w:eastAsia="Times New Roman" w:hAnsi="Arial" w:cs="Arial"/>
          <w:sz w:val="21"/>
          <w:szCs w:val="21"/>
          <w:lang w:eastAsia="pt-BR"/>
        </w:rPr>
        <w:t>trabalho</w:t>
      </w:r>
      <w:r w:rsidR="00B9276B"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operacional e os custos de conformidade, especialmente para o setor agroindustrial</w:t>
      </w:r>
      <w:r w:rsidR="00B9276B"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B9276B" w:rsidRPr="00DA6921">
        <w:rPr>
          <w:rFonts w:ascii="Arial" w:hAnsi="Arial" w:cs="Arial"/>
          <w:sz w:val="21"/>
          <w:szCs w:val="21"/>
        </w:rPr>
        <w:t>e produtores rurais.</w:t>
      </w:r>
    </w:p>
    <w:p w14:paraId="47AD9266" w14:textId="694ED043" w:rsidR="00B9276B" w:rsidRPr="00283C23" w:rsidRDefault="00B9276B" w:rsidP="00EC7E85">
      <w:pPr>
        <w:spacing w:before="100" w:beforeAutospacing="1" w:after="100" w:afterAutospacing="1" w:line="384" w:lineRule="auto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Obrigação </w:t>
      </w:r>
      <w:r w:rsidR="001C0899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a</w:t>
      </w: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cessória e </w:t>
      </w:r>
      <w:r w:rsidR="001C0899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a sua r</w:t>
      </w: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egulamentação</w:t>
      </w:r>
    </w:p>
    <w:p w14:paraId="68D61D3B" w14:textId="4255D34F" w:rsidR="00B9276B" w:rsidRPr="00DA6921" w:rsidRDefault="00B9276B" w:rsidP="00EC7E85">
      <w:pPr>
        <w:spacing w:before="100" w:beforeAutospacing="1" w:after="100" w:afterAutospacing="1" w:line="384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83C23">
        <w:rPr>
          <w:rFonts w:ascii="Arial" w:eastAsia="Times New Roman" w:hAnsi="Arial" w:cs="Arial"/>
          <w:sz w:val="21"/>
          <w:szCs w:val="21"/>
          <w:lang w:eastAsia="pt-BR"/>
        </w:rPr>
        <w:t>A MP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1127/2024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ainda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criou uma </w:t>
      </w: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obrigação acessória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para beneficiários fiscais</w:t>
      </w:r>
      <w:r w:rsidR="00205884"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, agora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regulamentada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pela </w:t>
      </w:r>
      <w:hyperlink r:id="rId9" w:anchor=":~:text=IN%20RFB%20n%C2%BA%202198%2F2024&amp;text=Disp%C3%B5e%20sobre%20a%20apresenta%C3%A7%C3%A3o%20da,Imunidades%20de%20Natureza%20Tribut%C3%A1ria%20%2D%20Dirbi" w:history="1">
        <w:r w:rsidRPr="00DA6921">
          <w:rPr>
            <w:rStyle w:val="Hyperlink"/>
            <w:rFonts w:ascii="Arial" w:hAnsi="Arial" w:cs="Arial"/>
            <w:sz w:val="21"/>
            <w:szCs w:val="21"/>
          </w:rPr>
          <w:t>I</w:t>
        </w:r>
        <w:r w:rsidR="000F5BE9" w:rsidRPr="00DA6921">
          <w:rPr>
            <w:rStyle w:val="Hyperlink"/>
            <w:rFonts w:ascii="Arial" w:hAnsi="Arial" w:cs="Arial"/>
            <w:sz w:val="21"/>
            <w:szCs w:val="21"/>
          </w:rPr>
          <w:t>nstrução Normativa da Receita Federal do Brasil n.º</w:t>
        </w:r>
        <w:r w:rsidRPr="00DA6921">
          <w:rPr>
            <w:rStyle w:val="Hyperlink"/>
            <w:rFonts w:ascii="Arial" w:hAnsi="Arial" w:cs="Arial"/>
            <w:sz w:val="21"/>
            <w:szCs w:val="21"/>
          </w:rPr>
          <w:t xml:space="preserve"> 2198/2024</w:t>
        </w:r>
      </w:hyperlink>
      <w:r w:rsidRPr="00DA6921">
        <w:rPr>
          <w:rFonts w:ascii="Arial" w:hAnsi="Arial" w:cs="Arial"/>
          <w:sz w:val="21"/>
          <w:szCs w:val="21"/>
        </w:rPr>
        <w:t xml:space="preserve">, publicada na última </w:t>
      </w:r>
      <w:r w:rsidRPr="00D53E37">
        <w:rPr>
          <w:rFonts w:ascii="Arial" w:hAnsi="Arial" w:cs="Arial"/>
          <w:sz w:val="21"/>
          <w:szCs w:val="21"/>
        </w:rPr>
        <w:t>terça-feira</w:t>
      </w:r>
      <w:r w:rsidRPr="00DA6921">
        <w:rPr>
          <w:rFonts w:ascii="Arial" w:hAnsi="Arial" w:cs="Arial"/>
          <w:sz w:val="21"/>
          <w:szCs w:val="21"/>
        </w:rPr>
        <w:t xml:space="preserve"> (18/06),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70428C"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que </w:t>
      </w:r>
      <w:r w:rsidR="00D53E37">
        <w:rPr>
          <w:rFonts w:ascii="Arial" w:eastAsia="Times New Roman" w:hAnsi="Arial" w:cs="Arial"/>
          <w:sz w:val="21"/>
          <w:szCs w:val="21"/>
          <w:lang w:eastAsia="pt-BR"/>
        </w:rPr>
        <w:t>exige</w:t>
      </w:r>
      <w:r w:rsidR="00672FFE"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51377E" w:rsidRPr="00DA6921">
        <w:rPr>
          <w:rFonts w:ascii="Arial" w:eastAsia="Times New Roman" w:hAnsi="Arial" w:cs="Arial"/>
          <w:sz w:val="21"/>
          <w:szCs w:val="21"/>
          <w:lang w:eastAsia="pt-BR"/>
        </w:rPr>
        <w:t>a apresentação d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a </w:t>
      </w:r>
      <w:r w:rsidRPr="00283C23">
        <w:rPr>
          <w:rFonts w:ascii="Arial" w:eastAsia="Times New Roman" w:hAnsi="Arial" w:cs="Arial"/>
          <w:i/>
          <w:iCs/>
          <w:sz w:val="21"/>
          <w:szCs w:val="21"/>
          <w:lang w:eastAsia="pt-BR"/>
        </w:rPr>
        <w:t>Declaração de Incentivos, Renúncias, Benefícios e Imunidades de Natureza Tributária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E34E43"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- </w:t>
      </w:r>
      <w:proofErr w:type="spellStart"/>
      <w:r w:rsidRPr="00283C23">
        <w:rPr>
          <w:rFonts w:ascii="Arial" w:eastAsia="Times New Roman" w:hAnsi="Arial" w:cs="Arial"/>
          <w:i/>
          <w:iCs/>
          <w:sz w:val="21"/>
          <w:szCs w:val="21"/>
          <w:lang w:eastAsia="pt-BR"/>
        </w:rPr>
        <w:t>Dirbi</w:t>
      </w:r>
      <w:proofErr w:type="spellEnd"/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. </w:t>
      </w:r>
    </w:p>
    <w:p w14:paraId="35816A87" w14:textId="6AF3D148" w:rsidR="00B9276B" w:rsidRDefault="00B9276B" w:rsidP="00A57764">
      <w:pPr>
        <w:spacing w:before="100" w:beforeAutospacing="1" w:after="100" w:afterAutospacing="1" w:line="384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DA6921">
        <w:rPr>
          <w:rFonts w:ascii="Arial" w:hAnsi="Arial" w:cs="Arial"/>
          <w:sz w:val="21"/>
          <w:szCs w:val="21"/>
        </w:rPr>
        <w:t xml:space="preserve">Ao todo, </w:t>
      </w:r>
      <w:r w:rsidR="00D24E29">
        <w:rPr>
          <w:rFonts w:ascii="Arial" w:hAnsi="Arial" w:cs="Arial"/>
          <w:sz w:val="21"/>
          <w:szCs w:val="21"/>
        </w:rPr>
        <w:t xml:space="preserve">a </w:t>
      </w:r>
      <w:r w:rsidR="00D24E29" w:rsidRPr="00DA6921">
        <w:rPr>
          <w:rFonts w:ascii="Arial" w:hAnsi="Arial" w:cs="Arial"/>
          <w:sz w:val="21"/>
          <w:szCs w:val="21"/>
        </w:rPr>
        <w:t xml:space="preserve">IN 2198/2024 </w:t>
      </w:r>
      <w:r w:rsidR="00D24E29">
        <w:rPr>
          <w:rFonts w:ascii="Arial" w:hAnsi="Arial" w:cs="Arial"/>
          <w:sz w:val="21"/>
          <w:szCs w:val="21"/>
        </w:rPr>
        <w:t xml:space="preserve">lista </w:t>
      </w:r>
      <w:r w:rsidRPr="00DA6921">
        <w:rPr>
          <w:rFonts w:ascii="Arial" w:hAnsi="Arial" w:cs="Arial"/>
          <w:b/>
          <w:bCs/>
          <w:sz w:val="21"/>
          <w:szCs w:val="21"/>
        </w:rPr>
        <w:t>dezesseis grupos</w:t>
      </w:r>
      <w:r w:rsidRPr="00DA6921">
        <w:rPr>
          <w:rFonts w:ascii="Arial" w:hAnsi="Arial" w:cs="Arial"/>
          <w:sz w:val="21"/>
          <w:szCs w:val="21"/>
        </w:rPr>
        <w:t xml:space="preserve"> de benefícios</w:t>
      </w:r>
      <w:r w:rsidR="00496908">
        <w:rPr>
          <w:rFonts w:ascii="Arial" w:hAnsi="Arial" w:cs="Arial"/>
          <w:sz w:val="21"/>
          <w:szCs w:val="21"/>
        </w:rPr>
        <w:t xml:space="preserve"> </w:t>
      </w:r>
      <w:r w:rsidR="001B4572">
        <w:rPr>
          <w:rFonts w:ascii="Arial" w:hAnsi="Arial" w:cs="Arial"/>
          <w:sz w:val="21"/>
          <w:szCs w:val="21"/>
        </w:rPr>
        <w:t xml:space="preserve">que devem </w:t>
      </w:r>
      <w:r w:rsidR="00496908">
        <w:rPr>
          <w:rFonts w:ascii="Arial" w:hAnsi="Arial" w:cs="Arial"/>
          <w:sz w:val="21"/>
          <w:szCs w:val="21"/>
        </w:rPr>
        <w:t>ser</w:t>
      </w:r>
      <w:r w:rsidR="001B4572">
        <w:rPr>
          <w:rFonts w:ascii="Arial" w:hAnsi="Arial" w:cs="Arial"/>
          <w:sz w:val="21"/>
          <w:szCs w:val="21"/>
        </w:rPr>
        <w:t xml:space="preserve"> </w:t>
      </w:r>
      <w:r w:rsidR="00496908">
        <w:rPr>
          <w:rFonts w:ascii="Arial" w:hAnsi="Arial" w:cs="Arial"/>
          <w:sz w:val="21"/>
          <w:szCs w:val="21"/>
        </w:rPr>
        <w:t>declarados</w:t>
      </w:r>
      <w:r w:rsidR="00D24E29">
        <w:rPr>
          <w:rFonts w:ascii="Arial" w:hAnsi="Arial" w:cs="Arial"/>
          <w:sz w:val="21"/>
          <w:szCs w:val="21"/>
        </w:rPr>
        <w:t>,</w:t>
      </w:r>
      <w:r w:rsidRPr="00DA6921">
        <w:rPr>
          <w:rFonts w:ascii="Arial" w:hAnsi="Arial" w:cs="Arial"/>
          <w:sz w:val="21"/>
          <w:szCs w:val="21"/>
        </w:rPr>
        <w:t xml:space="preserve"> </w:t>
      </w:r>
      <w:r w:rsidR="00135143">
        <w:rPr>
          <w:rFonts w:ascii="Arial" w:hAnsi="Arial" w:cs="Arial"/>
          <w:sz w:val="21"/>
          <w:szCs w:val="21"/>
        </w:rPr>
        <w:t>entre eles</w:t>
      </w:r>
      <w:r w:rsidRPr="00DA6921">
        <w:rPr>
          <w:rFonts w:ascii="Arial" w:hAnsi="Arial" w:cs="Arial"/>
          <w:sz w:val="21"/>
          <w:szCs w:val="21"/>
        </w:rPr>
        <w:t xml:space="preserve">: </w:t>
      </w:r>
      <w:r w:rsidRPr="00DA6921">
        <w:rPr>
          <w:rFonts w:ascii="Arial" w:hAnsi="Arial" w:cs="Arial"/>
          <w:i/>
          <w:iCs/>
          <w:sz w:val="21"/>
          <w:szCs w:val="21"/>
        </w:rPr>
        <w:t>PERSE, RECAP, REIDI, REPORTO, óleo bunker, produtos farmacêuticos, desoneração da folha de pagamentos, PADIS, carne bovina, ovina e caprina – exportação e industrialização, café não torrado, torrado e seus extratos, crédito presumido nas operações com laranja, soja, carne suína e avícola e produtos agropecuários gerais</w:t>
      </w:r>
      <w:r w:rsidRPr="00DA6921">
        <w:rPr>
          <w:rFonts w:ascii="Arial" w:hAnsi="Arial" w:cs="Arial"/>
          <w:sz w:val="21"/>
          <w:szCs w:val="21"/>
        </w:rPr>
        <w:t>.</w:t>
      </w:r>
    </w:p>
    <w:p w14:paraId="4F7E3F54" w14:textId="292DBA6D" w:rsidR="00A57764" w:rsidRPr="00DA6921" w:rsidRDefault="00496908" w:rsidP="00A57764">
      <w:pPr>
        <w:spacing w:before="100" w:beforeAutospacing="1" w:after="100" w:afterAutospacing="1" w:line="384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283C23">
        <w:rPr>
          <w:rFonts w:ascii="Arial" w:eastAsia="Times New Roman" w:hAnsi="Arial" w:cs="Arial"/>
          <w:sz w:val="21"/>
          <w:szCs w:val="21"/>
          <w:lang w:eastAsia="pt-BR"/>
        </w:rPr>
        <w:t>A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s </w:t>
      </w:r>
      <w:r w:rsidRPr="00DA6921">
        <w:rPr>
          <w:rFonts w:ascii="Arial" w:hAnsi="Arial" w:cs="Arial"/>
          <w:sz w:val="21"/>
          <w:szCs w:val="21"/>
        </w:rPr>
        <w:t xml:space="preserve">pessoas jurídicas que </w:t>
      </w:r>
      <w:r>
        <w:rPr>
          <w:rFonts w:ascii="Arial" w:hAnsi="Arial" w:cs="Arial"/>
          <w:sz w:val="21"/>
          <w:szCs w:val="21"/>
        </w:rPr>
        <w:t xml:space="preserve">desfrutam </w:t>
      </w:r>
      <w:r w:rsidR="009A03D0">
        <w:rPr>
          <w:rFonts w:ascii="Arial" w:hAnsi="Arial" w:cs="Arial"/>
          <w:sz w:val="21"/>
          <w:szCs w:val="21"/>
        </w:rPr>
        <w:t xml:space="preserve">desses </w:t>
      </w:r>
      <w:r w:rsidRPr="00DA6921">
        <w:rPr>
          <w:rFonts w:ascii="Arial" w:hAnsi="Arial" w:cs="Arial"/>
          <w:sz w:val="21"/>
          <w:szCs w:val="21"/>
        </w:rPr>
        <w:t>benefícios fiscais devem</w:t>
      </w:r>
      <w:r>
        <w:rPr>
          <w:rFonts w:ascii="Arial" w:hAnsi="Arial" w:cs="Arial"/>
          <w:sz w:val="21"/>
          <w:szCs w:val="21"/>
        </w:rPr>
        <w:t xml:space="preserve">, </w:t>
      </w:r>
      <w:r w:rsidRPr="00FF7675">
        <w:rPr>
          <w:rFonts w:ascii="Arial" w:hAnsi="Arial" w:cs="Arial"/>
          <w:b/>
          <w:bCs/>
          <w:sz w:val="21"/>
          <w:szCs w:val="21"/>
        </w:rPr>
        <w:t>mensalmente</w:t>
      </w:r>
      <w:r>
        <w:rPr>
          <w:rFonts w:ascii="Arial" w:hAnsi="Arial" w:cs="Arial"/>
          <w:sz w:val="21"/>
          <w:szCs w:val="21"/>
        </w:rPr>
        <w:t xml:space="preserve">, </w:t>
      </w:r>
      <w:r w:rsidRPr="00DA6921">
        <w:rPr>
          <w:rFonts w:ascii="Arial" w:hAnsi="Arial" w:cs="Arial"/>
          <w:sz w:val="21"/>
          <w:szCs w:val="21"/>
        </w:rPr>
        <w:t xml:space="preserve">detalhar na </w:t>
      </w:r>
      <w:proofErr w:type="spellStart"/>
      <w:r w:rsidRPr="00283C23">
        <w:rPr>
          <w:rFonts w:ascii="Arial" w:eastAsia="Times New Roman" w:hAnsi="Arial" w:cs="Arial"/>
          <w:sz w:val="21"/>
          <w:szCs w:val="21"/>
          <w:lang w:eastAsia="pt-BR"/>
        </w:rPr>
        <w:t>Dirbi</w:t>
      </w:r>
      <w:proofErr w:type="spellEnd"/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o valor e tipo d</w:t>
      </w:r>
      <w:r w:rsidR="009A03D0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benefício</w:t>
      </w:r>
      <w:r w:rsidR="00EF6E1D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>enviando-a</w:t>
      </w:r>
      <w:r w:rsidR="00EF6E1D">
        <w:rPr>
          <w:rFonts w:ascii="Arial" w:eastAsia="Times New Roman" w:hAnsi="Arial" w:cs="Arial"/>
          <w:sz w:val="21"/>
          <w:szCs w:val="21"/>
          <w:lang w:eastAsia="pt-BR"/>
        </w:rPr>
        <w:t>s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via </w:t>
      </w:r>
      <w:proofErr w:type="spellStart"/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e-CAC</w:t>
      </w:r>
      <w:proofErr w:type="spellEnd"/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, com assinatura digital, </w:t>
      </w:r>
      <w:r w:rsidRPr="00DA6921">
        <w:rPr>
          <w:rFonts w:ascii="Arial" w:hAnsi="Arial" w:cs="Arial"/>
          <w:sz w:val="21"/>
          <w:szCs w:val="21"/>
        </w:rPr>
        <w:t xml:space="preserve">até o </w:t>
      </w:r>
      <w:r w:rsidRPr="00DA6921">
        <w:rPr>
          <w:rFonts w:ascii="Arial" w:hAnsi="Arial" w:cs="Arial"/>
          <w:b/>
          <w:bCs/>
          <w:sz w:val="21"/>
          <w:szCs w:val="21"/>
        </w:rPr>
        <w:t>20º</w:t>
      </w:r>
      <w:r w:rsidRPr="00DA6921">
        <w:rPr>
          <w:rFonts w:ascii="Arial" w:hAnsi="Arial" w:cs="Arial"/>
          <w:sz w:val="21"/>
          <w:szCs w:val="21"/>
        </w:rPr>
        <w:t xml:space="preserve"> (vigésimo) </w:t>
      </w:r>
      <w:r w:rsidRPr="00467992">
        <w:rPr>
          <w:rFonts w:ascii="Arial" w:hAnsi="Arial" w:cs="Arial"/>
          <w:b/>
          <w:bCs/>
          <w:sz w:val="21"/>
          <w:szCs w:val="21"/>
        </w:rPr>
        <w:t>dia</w:t>
      </w:r>
      <w:r w:rsidRPr="00DA6921">
        <w:rPr>
          <w:rFonts w:ascii="Arial" w:hAnsi="Arial" w:cs="Arial"/>
          <w:sz w:val="21"/>
          <w:szCs w:val="21"/>
        </w:rPr>
        <w:t xml:space="preserve"> do segundo mês subsequente ao período de apuração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. </w:t>
      </w:r>
      <w:r w:rsidR="00EF6E1D">
        <w:rPr>
          <w:rFonts w:ascii="Arial" w:hAnsi="Arial" w:cs="Arial"/>
          <w:sz w:val="21"/>
          <w:szCs w:val="21"/>
        </w:rPr>
        <w:t>Para</w:t>
      </w:r>
      <w:r w:rsidR="00A57764" w:rsidRPr="00A57764">
        <w:rPr>
          <w:rFonts w:ascii="Arial" w:hAnsi="Arial" w:cs="Arial"/>
          <w:sz w:val="21"/>
          <w:szCs w:val="21"/>
        </w:rPr>
        <w:t xml:space="preserve"> </w:t>
      </w:r>
      <w:r w:rsidR="00AC08A2">
        <w:rPr>
          <w:rFonts w:ascii="Arial" w:hAnsi="Arial" w:cs="Arial"/>
          <w:sz w:val="21"/>
          <w:szCs w:val="21"/>
        </w:rPr>
        <w:t>os benefícios vinculados a</w:t>
      </w:r>
      <w:r w:rsidR="00A57764" w:rsidRPr="00A57764">
        <w:rPr>
          <w:rFonts w:ascii="Arial" w:hAnsi="Arial" w:cs="Arial"/>
          <w:sz w:val="21"/>
          <w:szCs w:val="21"/>
        </w:rPr>
        <w:t xml:space="preserve">o IRPJ e </w:t>
      </w:r>
      <w:r w:rsidR="00AC08A2">
        <w:rPr>
          <w:rFonts w:ascii="Arial" w:hAnsi="Arial" w:cs="Arial"/>
          <w:sz w:val="21"/>
          <w:szCs w:val="21"/>
        </w:rPr>
        <w:t>à</w:t>
      </w:r>
      <w:r w:rsidR="00A57764" w:rsidRPr="00A57764">
        <w:rPr>
          <w:rFonts w:ascii="Arial" w:hAnsi="Arial" w:cs="Arial"/>
          <w:sz w:val="21"/>
          <w:szCs w:val="21"/>
        </w:rPr>
        <w:t xml:space="preserve"> CSLL</w:t>
      </w:r>
      <w:r w:rsidR="00AC08A2">
        <w:rPr>
          <w:rFonts w:ascii="Arial" w:hAnsi="Arial" w:cs="Arial"/>
          <w:sz w:val="21"/>
          <w:szCs w:val="21"/>
        </w:rPr>
        <w:t xml:space="preserve">, a declaração </w:t>
      </w:r>
      <w:r w:rsidR="00A57764" w:rsidRPr="00A57764">
        <w:rPr>
          <w:rFonts w:ascii="Arial" w:hAnsi="Arial" w:cs="Arial"/>
          <w:sz w:val="21"/>
          <w:szCs w:val="21"/>
        </w:rPr>
        <w:t>deve</w:t>
      </w:r>
      <w:r w:rsidR="0069619F">
        <w:rPr>
          <w:rFonts w:ascii="Arial" w:hAnsi="Arial" w:cs="Arial"/>
          <w:sz w:val="21"/>
          <w:szCs w:val="21"/>
        </w:rPr>
        <w:t xml:space="preserve"> </w:t>
      </w:r>
      <w:r w:rsidR="00A57764" w:rsidRPr="00A57764">
        <w:rPr>
          <w:rFonts w:ascii="Arial" w:hAnsi="Arial" w:cs="Arial"/>
          <w:sz w:val="21"/>
          <w:szCs w:val="21"/>
        </w:rPr>
        <w:t xml:space="preserve">ser </w:t>
      </w:r>
      <w:r w:rsidR="00382ABE">
        <w:rPr>
          <w:rFonts w:ascii="Arial" w:hAnsi="Arial" w:cs="Arial"/>
          <w:sz w:val="21"/>
          <w:szCs w:val="21"/>
        </w:rPr>
        <w:t>prestada</w:t>
      </w:r>
      <w:r w:rsidR="00CF5E26">
        <w:rPr>
          <w:rFonts w:ascii="Arial" w:hAnsi="Arial" w:cs="Arial"/>
          <w:sz w:val="21"/>
          <w:szCs w:val="21"/>
        </w:rPr>
        <w:t xml:space="preserve"> </w:t>
      </w:r>
      <w:r w:rsidR="00A57764" w:rsidRPr="00A57764">
        <w:rPr>
          <w:rFonts w:ascii="Arial" w:hAnsi="Arial" w:cs="Arial"/>
          <w:sz w:val="21"/>
          <w:szCs w:val="21"/>
        </w:rPr>
        <w:t>conforme o período de apuração</w:t>
      </w:r>
      <w:r w:rsidR="0069619F">
        <w:rPr>
          <w:rFonts w:ascii="Arial" w:hAnsi="Arial" w:cs="Arial"/>
          <w:sz w:val="21"/>
          <w:szCs w:val="21"/>
        </w:rPr>
        <w:t xml:space="preserve">: </w:t>
      </w:r>
      <w:r w:rsidR="0069619F" w:rsidRPr="0069619F">
        <w:rPr>
          <w:rFonts w:ascii="Arial" w:hAnsi="Arial" w:cs="Arial"/>
          <w:sz w:val="21"/>
          <w:szCs w:val="21"/>
        </w:rPr>
        <w:t xml:space="preserve">trimestral </w:t>
      </w:r>
      <w:r w:rsidR="00382ABE">
        <w:rPr>
          <w:rFonts w:ascii="Arial" w:hAnsi="Arial" w:cs="Arial"/>
          <w:sz w:val="21"/>
          <w:szCs w:val="21"/>
        </w:rPr>
        <w:t>n</w:t>
      </w:r>
      <w:r w:rsidR="0069619F" w:rsidRPr="0069619F">
        <w:rPr>
          <w:rFonts w:ascii="Arial" w:hAnsi="Arial" w:cs="Arial"/>
          <w:sz w:val="21"/>
          <w:szCs w:val="21"/>
        </w:rPr>
        <w:t xml:space="preserve">o último mês do trimestre e anual </w:t>
      </w:r>
      <w:r w:rsidR="00637652">
        <w:rPr>
          <w:rFonts w:ascii="Arial" w:hAnsi="Arial" w:cs="Arial"/>
          <w:sz w:val="21"/>
          <w:szCs w:val="21"/>
        </w:rPr>
        <w:t>no mês</w:t>
      </w:r>
      <w:r w:rsidR="0069619F" w:rsidRPr="0069619F">
        <w:rPr>
          <w:rFonts w:ascii="Arial" w:hAnsi="Arial" w:cs="Arial"/>
          <w:sz w:val="21"/>
          <w:szCs w:val="21"/>
        </w:rPr>
        <w:t xml:space="preserve"> </w:t>
      </w:r>
      <w:r w:rsidR="00637652">
        <w:rPr>
          <w:rFonts w:ascii="Arial" w:hAnsi="Arial" w:cs="Arial"/>
          <w:sz w:val="21"/>
          <w:szCs w:val="21"/>
        </w:rPr>
        <w:t xml:space="preserve">de </w:t>
      </w:r>
      <w:r w:rsidR="0069619F" w:rsidRPr="0069619F">
        <w:rPr>
          <w:rFonts w:ascii="Arial" w:hAnsi="Arial" w:cs="Arial"/>
          <w:sz w:val="21"/>
          <w:szCs w:val="21"/>
        </w:rPr>
        <w:t>dezembro.</w:t>
      </w:r>
    </w:p>
    <w:p w14:paraId="40E089B2" w14:textId="0EC4BF53" w:rsidR="00B9276B" w:rsidRPr="00283C23" w:rsidRDefault="00B9276B" w:rsidP="00EC7E85">
      <w:pPr>
        <w:spacing w:before="100" w:beforeAutospacing="1" w:after="100" w:afterAutospacing="1" w:line="384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83C23">
        <w:rPr>
          <w:rFonts w:ascii="Arial" w:eastAsia="Times New Roman" w:hAnsi="Arial" w:cs="Arial"/>
          <w:sz w:val="21"/>
          <w:szCs w:val="21"/>
          <w:lang w:eastAsia="pt-BR"/>
        </w:rPr>
        <w:lastRenderedPageBreak/>
        <w:t>Estão dispensadas</w:t>
      </w:r>
      <w:r w:rsidR="00AC08A2">
        <w:rPr>
          <w:rFonts w:ascii="Arial" w:eastAsia="Times New Roman" w:hAnsi="Arial" w:cs="Arial"/>
          <w:sz w:val="21"/>
          <w:szCs w:val="21"/>
          <w:lang w:eastAsia="pt-BR"/>
        </w:rPr>
        <w:t xml:space="preserve"> da</w:t>
      </w:r>
      <w:r w:rsidR="00ED0C90">
        <w:rPr>
          <w:rFonts w:ascii="Arial" w:eastAsia="Times New Roman" w:hAnsi="Arial" w:cs="Arial"/>
          <w:sz w:val="21"/>
          <w:szCs w:val="21"/>
          <w:lang w:eastAsia="pt-BR"/>
        </w:rPr>
        <w:t xml:space="preserve"> obrigação de apresentar o </w:t>
      </w:r>
      <w:proofErr w:type="spellStart"/>
      <w:r w:rsidR="00ED0C90">
        <w:rPr>
          <w:rFonts w:ascii="Arial" w:eastAsia="Times New Roman" w:hAnsi="Arial" w:cs="Arial"/>
          <w:sz w:val="21"/>
          <w:szCs w:val="21"/>
          <w:lang w:eastAsia="pt-BR"/>
        </w:rPr>
        <w:t>Dirbi</w:t>
      </w:r>
      <w:proofErr w:type="spellEnd"/>
      <w:r w:rsidR="00ED0C90">
        <w:rPr>
          <w:rFonts w:ascii="Arial" w:eastAsia="Times New Roman" w:hAnsi="Arial" w:cs="Arial"/>
          <w:sz w:val="21"/>
          <w:szCs w:val="21"/>
          <w:lang w:eastAsia="pt-BR"/>
        </w:rPr>
        <w:t xml:space="preserve"> as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microempresas do Simples Nacional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Pr="00DA6921">
        <w:rPr>
          <w:rFonts w:ascii="Arial" w:hAnsi="Arial" w:cs="Arial"/>
          <w:sz w:val="21"/>
          <w:szCs w:val="21"/>
        </w:rPr>
        <w:t>exceto aquelas submetidas à CPRB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B26441">
        <w:rPr>
          <w:rFonts w:ascii="Arial" w:eastAsia="Times New Roman" w:hAnsi="Arial" w:cs="Arial"/>
          <w:sz w:val="21"/>
          <w:szCs w:val="21"/>
          <w:lang w:eastAsia="pt-BR"/>
        </w:rPr>
        <w:t>os microempreendedores individuais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, e </w:t>
      </w:r>
      <w:r w:rsidR="00ED0C90">
        <w:rPr>
          <w:rFonts w:ascii="Arial" w:eastAsia="Times New Roman" w:hAnsi="Arial" w:cs="Arial"/>
          <w:sz w:val="21"/>
          <w:szCs w:val="21"/>
          <w:lang w:eastAsia="pt-BR"/>
        </w:rPr>
        <w:t xml:space="preserve">as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entidades em início de atividade.</w:t>
      </w:r>
    </w:p>
    <w:p w14:paraId="010F448A" w14:textId="7CAC68A3" w:rsidR="00B9276B" w:rsidRPr="00DA6921" w:rsidRDefault="00B9276B" w:rsidP="00EC7E85">
      <w:pPr>
        <w:spacing w:before="100" w:beforeAutospacing="1" w:after="100" w:afterAutospacing="1" w:line="384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As </w:t>
      </w:r>
      <w:r w:rsidR="00ED0C90">
        <w:rPr>
          <w:rFonts w:ascii="Arial" w:eastAsia="Times New Roman" w:hAnsi="Arial" w:cs="Arial"/>
          <w:sz w:val="21"/>
          <w:szCs w:val="21"/>
          <w:lang w:eastAsia="pt-BR"/>
        </w:rPr>
        <w:t>multas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por atraso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na entrega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>d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a </w:t>
      </w:r>
      <w:proofErr w:type="spellStart"/>
      <w:r w:rsidRPr="00283C23">
        <w:rPr>
          <w:rFonts w:ascii="Arial" w:eastAsia="Times New Roman" w:hAnsi="Arial" w:cs="Arial"/>
          <w:sz w:val="21"/>
          <w:szCs w:val="21"/>
          <w:lang w:eastAsia="pt-BR"/>
        </w:rPr>
        <w:t>Dirbi</w:t>
      </w:r>
      <w:proofErr w:type="spellEnd"/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ED0C90">
        <w:rPr>
          <w:rFonts w:ascii="Arial" w:eastAsia="Times New Roman" w:hAnsi="Arial" w:cs="Arial"/>
          <w:sz w:val="21"/>
          <w:szCs w:val="21"/>
          <w:lang w:eastAsia="pt-BR"/>
        </w:rPr>
        <w:t xml:space="preserve">poderão ser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de </w:t>
      </w:r>
      <w:r w:rsidRPr="00B26441">
        <w:rPr>
          <w:rFonts w:ascii="Arial" w:eastAsia="Times New Roman" w:hAnsi="Arial" w:cs="Arial"/>
          <w:sz w:val="21"/>
          <w:szCs w:val="21"/>
          <w:lang w:eastAsia="pt-BR"/>
        </w:rPr>
        <w:t>0,5%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a </w:t>
      </w:r>
      <w:r w:rsidRPr="00B26441">
        <w:rPr>
          <w:rFonts w:ascii="Arial" w:eastAsia="Times New Roman" w:hAnsi="Arial" w:cs="Arial"/>
          <w:sz w:val="21"/>
          <w:szCs w:val="21"/>
          <w:lang w:eastAsia="pt-BR"/>
        </w:rPr>
        <w:t>1,5%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da receita bruta da empresa, limitadas a 30% dos benefícios fiscais usufruídos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>.</w:t>
      </w:r>
      <w:r w:rsidRPr="00DA6921">
        <w:rPr>
          <w:rFonts w:ascii="Arial" w:hAnsi="Arial" w:cs="Arial"/>
          <w:sz w:val="21"/>
          <w:szCs w:val="21"/>
        </w:rPr>
        <w:t xml:space="preserve"> </w:t>
      </w:r>
      <w:r w:rsidR="00DA546A">
        <w:rPr>
          <w:rFonts w:ascii="Arial" w:hAnsi="Arial" w:cs="Arial"/>
          <w:sz w:val="21"/>
          <w:szCs w:val="21"/>
        </w:rPr>
        <w:t xml:space="preserve">Há ainda a multa </w:t>
      </w:r>
      <w:r w:rsidRPr="00DA6921">
        <w:rPr>
          <w:rFonts w:ascii="Arial" w:hAnsi="Arial" w:cs="Arial"/>
          <w:sz w:val="21"/>
          <w:szCs w:val="21"/>
        </w:rPr>
        <w:t>de 3%, não inferior a R$ 500,00 (quinhentos reais), sobre o valor omitido, inexato ou incerto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. A </w:t>
      </w:r>
      <w:proofErr w:type="spellStart"/>
      <w:r w:rsidRPr="00283C23">
        <w:rPr>
          <w:rFonts w:ascii="Arial" w:eastAsia="Times New Roman" w:hAnsi="Arial" w:cs="Arial"/>
          <w:sz w:val="21"/>
          <w:szCs w:val="21"/>
          <w:lang w:eastAsia="pt-BR"/>
        </w:rPr>
        <w:t>Dirbi</w:t>
      </w:r>
      <w:proofErr w:type="spellEnd"/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poderá ser retificada 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em até cinco anos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após o exercício fiscal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14:paraId="41C51190" w14:textId="1FB4BDCC" w:rsidR="00B9276B" w:rsidRPr="00283C23" w:rsidRDefault="00B9276B" w:rsidP="00EC7E85">
      <w:pPr>
        <w:spacing w:before="100" w:beforeAutospacing="1" w:after="100" w:afterAutospacing="1" w:line="384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Por fim, </w:t>
      </w:r>
      <w:r w:rsidRPr="00DA6921">
        <w:rPr>
          <w:rFonts w:ascii="Arial" w:hAnsi="Arial" w:cs="Arial"/>
          <w:sz w:val="21"/>
          <w:szCs w:val="21"/>
        </w:rPr>
        <w:t xml:space="preserve">as regras da Instrução Normativa </w:t>
      </w:r>
      <w:r w:rsidR="00A54901" w:rsidRPr="00A54901">
        <w:rPr>
          <w:rFonts w:ascii="Arial" w:hAnsi="Arial" w:cs="Arial"/>
          <w:sz w:val="21"/>
          <w:szCs w:val="21"/>
        </w:rPr>
        <w:t>se aplicam aos benefícios fiscais usufruídos a partir de janeiro de 2024</w:t>
      </w:r>
      <w:r w:rsidRPr="00DA6921">
        <w:rPr>
          <w:rFonts w:ascii="Arial" w:hAnsi="Arial" w:cs="Arial"/>
          <w:sz w:val="21"/>
          <w:szCs w:val="21"/>
        </w:rPr>
        <w:t xml:space="preserve">. Para os períodos entre janeiro e maio, a </w:t>
      </w:r>
      <w:proofErr w:type="spellStart"/>
      <w:r w:rsidRPr="00DA6921">
        <w:rPr>
          <w:rFonts w:ascii="Arial" w:hAnsi="Arial" w:cs="Arial"/>
          <w:sz w:val="21"/>
          <w:szCs w:val="21"/>
        </w:rPr>
        <w:t>Dirbi</w:t>
      </w:r>
      <w:proofErr w:type="spellEnd"/>
      <w:r w:rsidRPr="00DA6921">
        <w:rPr>
          <w:rFonts w:ascii="Arial" w:hAnsi="Arial" w:cs="Arial"/>
          <w:sz w:val="21"/>
          <w:szCs w:val="21"/>
        </w:rPr>
        <w:t xml:space="preserve"> deverá ser entregue até o dia 20 de julho de 2024.</w:t>
      </w:r>
    </w:p>
    <w:p w14:paraId="403F9A54" w14:textId="77777777" w:rsidR="00B9276B" w:rsidRPr="00283C23" w:rsidRDefault="00B9276B" w:rsidP="00EC7E85">
      <w:pPr>
        <w:spacing w:before="100" w:beforeAutospacing="1" w:after="100" w:afterAutospacing="1" w:line="384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Conclusão</w:t>
      </w:r>
    </w:p>
    <w:p w14:paraId="631065B9" w14:textId="77777777" w:rsidR="00B9276B" w:rsidRPr="00283C23" w:rsidRDefault="00B9276B" w:rsidP="00EC7E85">
      <w:pPr>
        <w:spacing w:before="100" w:beforeAutospacing="1" w:after="100" w:afterAutospacing="1" w:line="384" w:lineRule="auto"/>
        <w:ind w:firstLine="708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A MP 1227/2024 e IN 2198/2024 impõem novos desafios e custos aos contribuintes, principalmente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>à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queles que dependem de benefícios fiscais. </w:t>
      </w:r>
      <w:bookmarkStart w:id="0" w:name="_Hlk169698769"/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A Federação da Agricultura e Pecuária do Estado de Mato Grosso mantém sua posição </w:t>
      </w:r>
      <w:r w:rsidRPr="00283C23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contrária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à MP e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>clama</w:t>
      </w:r>
      <w:r w:rsidRPr="00283C23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DA6921">
        <w:rPr>
          <w:rFonts w:ascii="Arial" w:eastAsia="Times New Roman" w:hAnsi="Arial" w:cs="Arial"/>
          <w:sz w:val="21"/>
          <w:szCs w:val="21"/>
          <w:lang w:eastAsia="pt-BR"/>
        </w:rPr>
        <w:t>aos legisladores pela rejeição integral</w:t>
      </w:r>
      <w:bookmarkEnd w:id="0"/>
      <w:r w:rsidRPr="00DA6921">
        <w:rPr>
          <w:rFonts w:ascii="Arial" w:eastAsia="Times New Roman" w:hAnsi="Arial" w:cs="Arial"/>
          <w:sz w:val="21"/>
          <w:szCs w:val="21"/>
          <w:lang w:eastAsia="pt-BR"/>
        </w:rPr>
        <w:t xml:space="preserve"> da medida.</w:t>
      </w:r>
    </w:p>
    <w:p w14:paraId="5E19CB1B" w14:textId="30BF0330" w:rsidR="00B9276B" w:rsidRPr="00DA6921" w:rsidRDefault="00B9276B" w:rsidP="00EC7E85">
      <w:pPr>
        <w:spacing w:line="384" w:lineRule="auto"/>
        <w:jc w:val="right"/>
        <w:rPr>
          <w:rFonts w:ascii="Arial" w:hAnsi="Arial" w:cs="Arial"/>
          <w:sz w:val="21"/>
          <w:szCs w:val="21"/>
        </w:rPr>
      </w:pPr>
      <w:r w:rsidRPr="00DA6921">
        <w:rPr>
          <w:rFonts w:ascii="Arial" w:hAnsi="Arial" w:cs="Arial"/>
          <w:sz w:val="21"/>
          <w:szCs w:val="21"/>
        </w:rPr>
        <w:t xml:space="preserve">Cuiabá-MT, </w:t>
      </w:r>
      <w:r w:rsidR="00E34E43" w:rsidRPr="00DA6921">
        <w:rPr>
          <w:rFonts w:ascii="Arial" w:hAnsi="Arial" w:cs="Arial"/>
          <w:sz w:val="21"/>
          <w:szCs w:val="21"/>
        </w:rPr>
        <w:t>19</w:t>
      </w:r>
      <w:r w:rsidRPr="00DA6921">
        <w:rPr>
          <w:rFonts w:ascii="Arial" w:hAnsi="Arial" w:cs="Arial"/>
          <w:sz w:val="21"/>
          <w:szCs w:val="21"/>
        </w:rPr>
        <w:t xml:space="preserve"> de junho de 2.024.</w:t>
      </w:r>
    </w:p>
    <w:p w14:paraId="411AB983" w14:textId="77777777" w:rsidR="00637652" w:rsidRDefault="00637652" w:rsidP="00EC7E85">
      <w:pPr>
        <w:spacing w:after="0" w:line="384" w:lineRule="auto"/>
        <w:ind w:firstLine="708"/>
        <w:jc w:val="center"/>
        <w:rPr>
          <w:rFonts w:ascii="Arial" w:hAnsi="Arial" w:cs="Arial"/>
          <w:b/>
          <w:bCs/>
          <w:sz w:val="21"/>
          <w:szCs w:val="21"/>
        </w:rPr>
      </w:pPr>
    </w:p>
    <w:p w14:paraId="5751A45A" w14:textId="6CA6410E" w:rsidR="00B9276B" w:rsidRPr="00DA6921" w:rsidRDefault="00B9276B" w:rsidP="00C21645">
      <w:pPr>
        <w:spacing w:after="0" w:line="384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DA6921">
        <w:rPr>
          <w:rFonts w:ascii="Arial" w:hAnsi="Arial" w:cs="Arial"/>
          <w:b/>
          <w:bCs/>
          <w:sz w:val="21"/>
          <w:szCs w:val="21"/>
        </w:rPr>
        <w:t>RONALDO VINHA</w:t>
      </w:r>
    </w:p>
    <w:p w14:paraId="721AECC8" w14:textId="7AA53BC6" w:rsidR="00B9276B" w:rsidRPr="00DA6921" w:rsidRDefault="00B9276B" w:rsidP="00C21645">
      <w:pPr>
        <w:spacing w:after="0" w:line="384" w:lineRule="auto"/>
        <w:jc w:val="center"/>
        <w:rPr>
          <w:rFonts w:ascii="Arial" w:hAnsi="Arial" w:cs="Arial"/>
          <w:sz w:val="21"/>
          <w:szCs w:val="21"/>
        </w:rPr>
      </w:pPr>
      <w:r w:rsidRPr="00DA6921">
        <w:rPr>
          <w:rFonts w:ascii="Arial" w:hAnsi="Arial" w:cs="Arial"/>
          <w:sz w:val="21"/>
          <w:szCs w:val="21"/>
        </w:rPr>
        <w:t>Diretor de Relações Institucionais da Federação da Agricultura e Pecuária de Mato Grosso</w:t>
      </w:r>
    </w:p>
    <w:p w14:paraId="09979150" w14:textId="77777777" w:rsidR="00E56AED" w:rsidRPr="00DA6921" w:rsidRDefault="00E56AED" w:rsidP="00EC7E85">
      <w:pPr>
        <w:spacing w:line="384" w:lineRule="auto"/>
        <w:rPr>
          <w:rFonts w:ascii="Arial" w:hAnsi="Arial" w:cs="Arial"/>
          <w:sz w:val="21"/>
          <w:szCs w:val="21"/>
        </w:rPr>
      </w:pPr>
    </w:p>
    <w:sectPr w:rsidR="00E56AED" w:rsidRPr="00DA6921" w:rsidSect="00B9276B">
      <w:headerReference w:type="default" r:id="rId10"/>
      <w:pgSz w:w="11906" w:h="16838"/>
      <w:pgMar w:top="2787" w:right="1701" w:bottom="2694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A6F64" w14:textId="77777777" w:rsidR="00C61CD9" w:rsidRDefault="00C61CD9" w:rsidP="00B9276B">
      <w:pPr>
        <w:spacing w:after="0" w:line="240" w:lineRule="auto"/>
      </w:pPr>
      <w:r>
        <w:separator/>
      </w:r>
    </w:p>
  </w:endnote>
  <w:endnote w:type="continuationSeparator" w:id="0">
    <w:p w14:paraId="0232283E" w14:textId="77777777" w:rsidR="00C61CD9" w:rsidRDefault="00C61CD9" w:rsidP="00B9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B62DB3" w14:textId="77777777" w:rsidR="00C61CD9" w:rsidRDefault="00C61CD9" w:rsidP="00B9276B">
      <w:pPr>
        <w:spacing w:after="0" w:line="240" w:lineRule="auto"/>
      </w:pPr>
      <w:r>
        <w:separator/>
      </w:r>
    </w:p>
  </w:footnote>
  <w:footnote w:type="continuationSeparator" w:id="0">
    <w:p w14:paraId="72A0F8F6" w14:textId="77777777" w:rsidR="00C61CD9" w:rsidRDefault="00C61CD9" w:rsidP="00B92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B3E5C" w14:textId="77777777" w:rsidR="000A78F9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29D8907" wp14:editId="209EC443">
          <wp:simplePos x="0" y="0"/>
          <wp:positionH relativeFrom="column">
            <wp:posOffset>-1118235</wp:posOffset>
          </wp:positionH>
          <wp:positionV relativeFrom="paragraph">
            <wp:posOffset>-438151</wp:posOffset>
          </wp:positionV>
          <wp:extent cx="7624445" cy="11077575"/>
          <wp:effectExtent l="0" t="0" r="0" b="9525"/>
          <wp:wrapNone/>
          <wp:docPr id="668641462" name="Gráfico 668641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áfico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4690" cy="11077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7C7C09"/>
    <w:multiLevelType w:val="multilevel"/>
    <w:tmpl w:val="595ED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CB654A"/>
    <w:multiLevelType w:val="multilevel"/>
    <w:tmpl w:val="1F52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06591">
    <w:abstractNumId w:val="1"/>
  </w:num>
  <w:num w:numId="2" w16cid:durableId="1140416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23"/>
    <w:rsid w:val="00005320"/>
    <w:rsid w:val="00011EF8"/>
    <w:rsid w:val="0002541A"/>
    <w:rsid w:val="00081E71"/>
    <w:rsid w:val="000A25F4"/>
    <w:rsid w:val="000A78F9"/>
    <w:rsid w:val="000B5FB5"/>
    <w:rsid w:val="000F5BE9"/>
    <w:rsid w:val="000F6D5D"/>
    <w:rsid w:val="00133C4D"/>
    <w:rsid w:val="00135143"/>
    <w:rsid w:val="00146129"/>
    <w:rsid w:val="00146497"/>
    <w:rsid w:val="00150FBB"/>
    <w:rsid w:val="00167B45"/>
    <w:rsid w:val="00175817"/>
    <w:rsid w:val="00196EF7"/>
    <w:rsid w:val="001B4572"/>
    <w:rsid w:val="001C0899"/>
    <w:rsid w:val="001D31DF"/>
    <w:rsid w:val="001D43E1"/>
    <w:rsid w:val="001E4499"/>
    <w:rsid w:val="001F25D5"/>
    <w:rsid w:val="00205884"/>
    <w:rsid w:val="0027082F"/>
    <w:rsid w:val="00271E62"/>
    <w:rsid w:val="002765E0"/>
    <w:rsid w:val="00283C23"/>
    <w:rsid w:val="002B3779"/>
    <w:rsid w:val="002C2FBF"/>
    <w:rsid w:val="002D5A45"/>
    <w:rsid w:val="00301701"/>
    <w:rsid w:val="0034493F"/>
    <w:rsid w:val="00382ABE"/>
    <w:rsid w:val="00385DBF"/>
    <w:rsid w:val="00391BE8"/>
    <w:rsid w:val="003F2301"/>
    <w:rsid w:val="003F24F2"/>
    <w:rsid w:val="00426540"/>
    <w:rsid w:val="004460F4"/>
    <w:rsid w:val="004463A0"/>
    <w:rsid w:val="00467992"/>
    <w:rsid w:val="00485DCE"/>
    <w:rsid w:val="00496908"/>
    <w:rsid w:val="004B7196"/>
    <w:rsid w:val="004B7A1D"/>
    <w:rsid w:val="004F1CF3"/>
    <w:rsid w:val="00507157"/>
    <w:rsid w:val="0051377E"/>
    <w:rsid w:val="00531FCE"/>
    <w:rsid w:val="005524F1"/>
    <w:rsid w:val="00560C70"/>
    <w:rsid w:val="0058448C"/>
    <w:rsid w:val="005C2873"/>
    <w:rsid w:val="005C2BA3"/>
    <w:rsid w:val="0060747B"/>
    <w:rsid w:val="00610D84"/>
    <w:rsid w:val="00637652"/>
    <w:rsid w:val="006671DA"/>
    <w:rsid w:val="00672FFE"/>
    <w:rsid w:val="006768F3"/>
    <w:rsid w:val="00682AE3"/>
    <w:rsid w:val="00683FF5"/>
    <w:rsid w:val="0069619F"/>
    <w:rsid w:val="006A5C0F"/>
    <w:rsid w:val="006B4593"/>
    <w:rsid w:val="006C041C"/>
    <w:rsid w:val="006D5402"/>
    <w:rsid w:val="0070428C"/>
    <w:rsid w:val="00792ACA"/>
    <w:rsid w:val="007B4631"/>
    <w:rsid w:val="007E7964"/>
    <w:rsid w:val="00853D8C"/>
    <w:rsid w:val="008A7A77"/>
    <w:rsid w:val="008D10FB"/>
    <w:rsid w:val="008E035B"/>
    <w:rsid w:val="008F08B0"/>
    <w:rsid w:val="00913874"/>
    <w:rsid w:val="00980267"/>
    <w:rsid w:val="009A03D0"/>
    <w:rsid w:val="009D5769"/>
    <w:rsid w:val="009E6DD5"/>
    <w:rsid w:val="009F402B"/>
    <w:rsid w:val="00A505CF"/>
    <w:rsid w:val="00A54077"/>
    <w:rsid w:val="00A54901"/>
    <w:rsid w:val="00A57764"/>
    <w:rsid w:val="00A61E8C"/>
    <w:rsid w:val="00A74E79"/>
    <w:rsid w:val="00A767F0"/>
    <w:rsid w:val="00A77722"/>
    <w:rsid w:val="00A860DB"/>
    <w:rsid w:val="00A93FB9"/>
    <w:rsid w:val="00AC08A2"/>
    <w:rsid w:val="00B10006"/>
    <w:rsid w:val="00B135CD"/>
    <w:rsid w:val="00B26441"/>
    <w:rsid w:val="00B609CC"/>
    <w:rsid w:val="00B9276B"/>
    <w:rsid w:val="00BD0274"/>
    <w:rsid w:val="00BD6A09"/>
    <w:rsid w:val="00BE569F"/>
    <w:rsid w:val="00C21645"/>
    <w:rsid w:val="00C61CD9"/>
    <w:rsid w:val="00C6305D"/>
    <w:rsid w:val="00C84092"/>
    <w:rsid w:val="00CF5E26"/>
    <w:rsid w:val="00D05E37"/>
    <w:rsid w:val="00D07A7A"/>
    <w:rsid w:val="00D1365A"/>
    <w:rsid w:val="00D24E29"/>
    <w:rsid w:val="00D42B74"/>
    <w:rsid w:val="00D53E37"/>
    <w:rsid w:val="00D90C38"/>
    <w:rsid w:val="00DA546A"/>
    <w:rsid w:val="00DA6921"/>
    <w:rsid w:val="00DE2466"/>
    <w:rsid w:val="00DF73CC"/>
    <w:rsid w:val="00E202BB"/>
    <w:rsid w:val="00E267DA"/>
    <w:rsid w:val="00E34E43"/>
    <w:rsid w:val="00E56AED"/>
    <w:rsid w:val="00E61CC9"/>
    <w:rsid w:val="00E75F99"/>
    <w:rsid w:val="00E821DB"/>
    <w:rsid w:val="00EA2034"/>
    <w:rsid w:val="00EA72E0"/>
    <w:rsid w:val="00EB4A21"/>
    <w:rsid w:val="00EC0B38"/>
    <w:rsid w:val="00EC64A2"/>
    <w:rsid w:val="00EC7E85"/>
    <w:rsid w:val="00ED0C90"/>
    <w:rsid w:val="00EF1670"/>
    <w:rsid w:val="00EF6E1D"/>
    <w:rsid w:val="00F162F3"/>
    <w:rsid w:val="00F2475B"/>
    <w:rsid w:val="00F261B2"/>
    <w:rsid w:val="00F67C69"/>
    <w:rsid w:val="00F900F3"/>
    <w:rsid w:val="00FE3323"/>
    <w:rsid w:val="00FF7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12F69"/>
  <w15:chartTrackingRefBased/>
  <w15:docId w15:val="{2DC6172C-0D2B-4DAF-AA71-F8CFD958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76B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3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83C23"/>
    <w:rPr>
      <w:b/>
      <w:bCs/>
    </w:rPr>
  </w:style>
  <w:style w:type="character" w:styleId="Hyperlink">
    <w:name w:val="Hyperlink"/>
    <w:basedOn w:val="Fontepargpadro"/>
    <w:uiPriority w:val="99"/>
    <w:unhideWhenUsed/>
    <w:rsid w:val="00283C23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92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76B"/>
    <w:rPr>
      <w:kern w:val="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9276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9276B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B927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5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37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37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.senado.leg.br/sdleg-getter/documento?dm=9625830&amp;ts=1718281434664&amp;disposition=in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23-2026/2024/Congresso/adc-36-mpv1.227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ormas.receita.fazenda.gov.br/sijut2consulta/link.action?idAto=13873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828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Cristovão Martins Junior</dc:creator>
  <cp:keywords/>
  <dc:description/>
  <cp:lastModifiedBy>José Cristovão Martins Junior</cp:lastModifiedBy>
  <cp:revision>5</cp:revision>
  <cp:lastPrinted>2024-06-19T20:49:00Z</cp:lastPrinted>
  <dcterms:created xsi:type="dcterms:W3CDTF">2024-06-19T15:26:00Z</dcterms:created>
  <dcterms:modified xsi:type="dcterms:W3CDTF">2024-06-19T21:15:00Z</dcterms:modified>
</cp:coreProperties>
</file>