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B99C0" w14:textId="0314BCC2" w:rsidR="00A6468F" w:rsidRPr="00A01612" w:rsidRDefault="007F4BC0" w:rsidP="004C6970">
      <w:pPr>
        <w:spacing w:after="480" w:line="360" w:lineRule="auto"/>
        <w:jc w:val="center"/>
        <w:rPr>
          <w:rFonts w:ascii="Arial" w:hAnsi="Arial" w:cs="Arial"/>
          <w:sz w:val="21"/>
          <w:szCs w:val="21"/>
        </w:rPr>
      </w:pPr>
      <w:r w:rsidRPr="00A01612">
        <w:rPr>
          <w:rFonts w:ascii="Arial" w:hAnsi="Arial" w:cs="Arial"/>
          <w:b/>
          <w:bCs/>
          <w:sz w:val="21"/>
          <w:szCs w:val="21"/>
        </w:rPr>
        <w:t>MANIFESTO PÚBLICO</w:t>
      </w:r>
    </w:p>
    <w:p w14:paraId="6C2AE14C" w14:textId="0D41237A" w:rsidR="007F4BC0" w:rsidRPr="00A01612" w:rsidRDefault="007F4BC0" w:rsidP="007F4BC0">
      <w:pPr>
        <w:spacing w:after="36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A01612">
        <w:rPr>
          <w:rFonts w:ascii="Arial" w:hAnsi="Arial" w:cs="Arial"/>
          <w:sz w:val="21"/>
          <w:szCs w:val="21"/>
        </w:rPr>
        <w:t>A Federação da Agricultura e Pecuária do Estado de Mato Grosso</w:t>
      </w:r>
      <w:r w:rsidR="005F3B2B">
        <w:rPr>
          <w:rFonts w:ascii="Arial" w:hAnsi="Arial" w:cs="Arial"/>
          <w:sz w:val="21"/>
          <w:szCs w:val="21"/>
        </w:rPr>
        <w:t xml:space="preserve"> (Famato)</w:t>
      </w:r>
      <w:r w:rsidRPr="00A01612">
        <w:rPr>
          <w:rFonts w:ascii="Arial" w:hAnsi="Arial" w:cs="Arial"/>
          <w:sz w:val="21"/>
          <w:szCs w:val="21"/>
        </w:rPr>
        <w:t xml:space="preserve">, representante dos interesses do setor agropecuário mato-grossense, vem manifestar fervorosa oposição à </w:t>
      </w:r>
      <w:r w:rsidRPr="00A01612">
        <w:rPr>
          <w:rFonts w:ascii="Arial" w:hAnsi="Arial" w:cs="Arial"/>
          <w:b/>
          <w:bCs/>
          <w:sz w:val="21"/>
          <w:szCs w:val="21"/>
        </w:rPr>
        <w:t>Medida Provisória 1.227, de 4 de junho de 2024</w:t>
      </w:r>
      <w:r w:rsidRPr="00A01612">
        <w:rPr>
          <w:rFonts w:ascii="Arial" w:hAnsi="Arial" w:cs="Arial"/>
          <w:sz w:val="21"/>
          <w:szCs w:val="21"/>
        </w:rPr>
        <w:t xml:space="preserve">, denominada por “MP do Equilíbrio Fiscal”, que </w:t>
      </w:r>
      <w:r w:rsidRPr="00A01612">
        <w:rPr>
          <w:rFonts w:ascii="Arial" w:hAnsi="Arial" w:cs="Arial"/>
          <w:b/>
          <w:bCs/>
          <w:sz w:val="21"/>
          <w:szCs w:val="21"/>
        </w:rPr>
        <w:t>(i)</w:t>
      </w:r>
      <w:r w:rsidRPr="00A01612">
        <w:rPr>
          <w:rFonts w:ascii="Arial" w:hAnsi="Arial" w:cs="Arial"/>
          <w:sz w:val="21"/>
          <w:szCs w:val="21"/>
        </w:rPr>
        <w:t xml:space="preserve"> alterou a competência de julgamento das demandas relacionadas ao Imposto sobre a Propriedade Territorial Rural (ITR), </w:t>
      </w:r>
      <w:r w:rsidRPr="00A01612">
        <w:rPr>
          <w:rFonts w:ascii="Arial" w:hAnsi="Arial" w:cs="Arial"/>
          <w:b/>
          <w:bCs/>
          <w:sz w:val="21"/>
          <w:szCs w:val="21"/>
        </w:rPr>
        <w:t>(</w:t>
      </w:r>
      <w:proofErr w:type="spellStart"/>
      <w:r w:rsidRPr="00A01612">
        <w:rPr>
          <w:rFonts w:ascii="Arial" w:hAnsi="Arial" w:cs="Arial"/>
          <w:b/>
          <w:bCs/>
          <w:sz w:val="21"/>
          <w:szCs w:val="21"/>
        </w:rPr>
        <w:t>ii</w:t>
      </w:r>
      <w:proofErr w:type="spellEnd"/>
      <w:r w:rsidRPr="00A01612">
        <w:rPr>
          <w:rFonts w:ascii="Arial" w:hAnsi="Arial" w:cs="Arial"/>
          <w:b/>
          <w:bCs/>
          <w:sz w:val="21"/>
          <w:szCs w:val="21"/>
        </w:rPr>
        <w:t>)</w:t>
      </w:r>
      <w:r w:rsidRPr="00A01612">
        <w:rPr>
          <w:rFonts w:ascii="Arial" w:hAnsi="Arial" w:cs="Arial"/>
          <w:sz w:val="21"/>
          <w:szCs w:val="21"/>
        </w:rPr>
        <w:t xml:space="preserve"> fixou novas condições para a fruição de benefícios fiscais e, de forma surpreendente, </w:t>
      </w:r>
      <w:r w:rsidRPr="00A01612">
        <w:rPr>
          <w:rFonts w:ascii="Arial" w:hAnsi="Arial" w:cs="Arial"/>
          <w:b/>
          <w:bCs/>
          <w:sz w:val="21"/>
          <w:szCs w:val="21"/>
        </w:rPr>
        <w:t>(</w:t>
      </w:r>
      <w:proofErr w:type="spellStart"/>
      <w:r w:rsidRPr="00A01612">
        <w:rPr>
          <w:rFonts w:ascii="Arial" w:hAnsi="Arial" w:cs="Arial"/>
          <w:b/>
          <w:bCs/>
          <w:sz w:val="21"/>
          <w:szCs w:val="21"/>
        </w:rPr>
        <w:t>iii</w:t>
      </w:r>
      <w:proofErr w:type="spellEnd"/>
      <w:r w:rsidRPr="00A01612">
        <w:rPr>
          <w:rFonts w:ascii="Arial" w:hAnsi="Arial" w:cs="Arial"/>
          <w:b/>
          <w:bCs/>
          <w:sz w:val="21"/>
          <w:szCs w:val="21"/>
        </w:rPr>
        <w:t>)</w:t>
      </w:r>
      <w:r w:rsidRPr="00A01612">
        <w:rPr>
          <w:rFonts w:ascii="Arial" w:hAnsi="Arial" w:cs="Arial"/>
          <w:sz w:val="21"/>
          <w:szCs w:val="21"/>
        </w:rPr>
        <w:t xml:space="preserve"> impôs severas </w:t>
      </w:r>
      <w:bookmarkStart w:id="0" w:name="_Hlk168583967"/>
      <w:r w:rsidRPr="00A01612">
        <w:rPr>
          <w:rFonts w:ascii="Arial" w:hAnsi="Arial" w:cs="Arial"/>
          <w:sz w:val="21"/>
          <w:szCs w:val="21"/>
        </w:rPr>
        <w:t xml:space="preserve">vedações </w:t>
      </w:r>
      <w:r w:rsidR="00910298">
        <w:rPr>
          <w:rFonts w:ascii="Arial" w:hAnsi="Arial" w:cs="Arial"/>
          <w:sz w:val="21"/>
          <w:szCs w:val="21"/>
        </w:rPr>
        <w:t>à</w:t>
      </w:r>
      <w:r w:rsidRPr="00A01612">
        <w:rPr>
          <w:rFonts w:ascii="Arial" w:hAnsi="Arial" w:cs="Arial"/>
          <w:sz w:val="21"/>
          <w:szCs w:val="21"/>
        </w:rPr>
        <w:t>s regras de compensação e ressarcimento dos créditos de PIS/COFINS,</w:t>
      </w:r>
      <w:bookmarkEnd w:id="0"/>
      <w:r w:rsidRPr="00A01612">
        <w:rPr>
          <w:rFonts w:ascii="Arial" w:hAnsi="Arial" w:cs="Arial"/>
          <w:sz w:val="21"/>
          <w:szCs w:val="21"/>
        </w:rPr>
        <w:t xml:space="preserve"> prejudicando, de forma imediata, toda a cadeia econômica do agronegócio.</w:t>
      </w:r>
    </w:p>
    <w:p w14:paraId="441220D0" w14:textId="1F49ADAF" w:rsidR="007F4BC0" w:rsidRPr="00A01612" w:rsidRDefault="007F4BC0" w:rsidP="007F4BC0">
      <w:pPr>
        <w:spacing w:after="36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A01612">
        <w:rPr>
          <w:rFonts w:ascii="Arial" w:hAnsi="Arial" w:cs="Arial"/>
          <w:sz w:val="21"/>
          <w:szCs w:val="21"/>
        </w:rPr>
        <w:t xml:space="preserve">Em termos detalhados, </w:t>
      </w:r>
      <w:r w:rsidR="00116DA7" w:rsidRPr="00A01612">
        <w:rPr>
          <w:rFonts w:ascii="Arial" w:hAnsi="Arial" w:cs="Arial"/>
          <w:sz w:val="21"/>
          <w:szCs w:val="21"/>
        </w:rPr>
        <w:t>a</w:t>
      </w:r>
      <w:r w:rsidRPr="00A01612">
        <w:rPr>
          <w:rFonts w:ascii="Arial" w:hAnsi="Arial" w:cs="Arial"/>
          <w:sz w:val="21"/>
          <w:szCs w:val="21"/>
        </w:rPr>
        <w:t xml:space="preserve"> partir dessa alteração</w:t>
      </w:r>
      <w:r w:rsidR="00116DA7" w:rsidRPr="00A01612">
        <w:rPr>
          <w:rFonts w:ascii="Arial" w:hAnsi="Arial" w:cs="Arial"/>
          <w:sz w:val="21"/>
          <w:szCs w:val="21"/>
        </w:rPr>
        <w:t xml:space="preserve"> da competência de fiscalização e lançamento do Imposto sobre a Propriedade Territorial Rural (ITR),</w:t>
      </w:r>
      <w:r w:rsidRPr="00A01612">
        <w:rPr>
          <w:rFonts w:ascii="Arial" w:hAnsi="Arial" w:cs="Arial"/>
          <w:sz w:val="21"/>
          <w:szCs w:val="21"/>
        </w:rPr>
        <w:t xml:space="preserve"> cada Município poderá ter um entendimento singular sobre a aplicação das normas do ITR, diferentemente do que ocorre hoje, em que as impugnações ao imposto são julgadas, in</w:t>
      </w:r>
      <w:r w:rsidR="0040473F">
        <w:rPr>
          <w:rFonts w:ascii="Arial" w:hAnsi="Arial" w:cs="Arial"/>
          <w:sz w:val="21"/>
          <w:szCs w:val="21"/>
        </w:rPr>
        <w:t>i</w:t>
      </w:r>
      <w:r w:rsidRPr="00A01612">
        <w:rPr>
          <w:rFonts w:ascii="Arial" w:hAnsi="Arial" w:cs="Arial"/>
          <w:sz w:val="21"/>
          <w:szCs w:val="21"/>
        </w:rPr>
        <w:t xml:space="preserve">cialmente, pela Receita Federal do Brasil e, em segunda instância, pelo Conselho </w:t>
      </w:r>
      <w:r w:rsidR="0040473F">
        <w:rPr>
          <w:rFonts w:ascii="Arial" w:hAnsi="Arial" w:cs="Arial"/>
          <w:sz w:val="21"/>
          <w:szCs w:val="21"/>
        </w:rPr>
        <w:t>A</w:t>
      </w:r>
      <w:r w:rsidRPr="00A01612">
        <w:rPr>
          <w:rFonts w:ascii="Arial" w:hAnsi="Arial" w:cs="Arial"/>
          <w:sz w:val="21"/>
          <w:szCs w:val="21"/>
        </w:rPr>
        <w:t xml:space="preserve">dministrativo de Recursos Fiscais (CARF), </w:t>
      </w:r>
      <w:r w:rsidR="0040473F">
        <w:rPr>
          <w:rFonts w:ascii="Arial" w:hAnsi="Arial" w:cs="Arial"/>
          <w:sz w:val="21"/>
          <w:szCs w:val="21"/>
        </w:rPr>
        <w:t>composto</w:t>
      </w:r>
      <w:r w:rsidR="00043F09" w:rsidRPr="00A01612">
        <w:rPr>
          <w:rFonts w:ascii="Arial" w:hAnsi="Arial" w:cs="Arial"/>
          <w:sz w:val="21"/>
          <w:szCs w:val="21"/>
        </w:rPr>
        <w:t xml:space="preserve"> por representantes dos contribuintes e da Fazenda</w:t>
      </w:r>
      <w:r w:rsidR="00043F09">
        <w:rPr>
          <w:rFonts w:ascii="Arial" w:hAnsi="Arial" w:cs="Arial"/>
          <w:sz w:val="21"/>
          <w:szCs w:val="21"/>
        </w:rPr>
        <w:t>,</w:t>
      </w:r>
      <w:r w:rsidR="00043F09" w:rsidRPr="00A01612">
        <w:rPr>
          <w:rFonts w:ascii="Arial" w:hAnsi="Arial" w:cs="Arial"/>
          <w:sz w:val="21"/>
          <w:szCs w:val="21"/>
        </w:rPr>
        <w:t xml:space="preserve"> </w:t>
      </w:r>
      <w:r w:rsidR="004A0D64">
        <w:rPr>
          <w:rFonts w:ascii="Arial" w:hAnsi="Arial" w:cs="Arial"/>
          <w:sz w:val="21"/>
          <w:szCs w:val="21"/>
        </w:rPr>
        <w:t>sendo</w:t>
      </w:r>
      <w:r w:rsidRPr="00A01612">
        <w:rPr>
          <w:rFonts w:ascii="Arial" w:hAnsi="Arial" w:cs="Arial"/>
          <w:sz w:val="21"/>
          <w:szCs w:val="21"/>
        </w:rPr>
        <w:t xml:space="preserve"> o único tribunal administrativo competente para tal julgamento</w:t>
      </w:r>
      <w:r w:rsidR="00654719" w:rsidRPr="00A01612">
        <w:rPr>
          <w:rFonts w:ascii="Arial" w:hAnsi="Arial" w:cs="Arial"/>
          <w:sz w:val="21"/>
          <w:szCs w:val="21"/>
        </w:rPr>
        <w:t>.</w:t>
      </w:r>
      <w:r w:rsidR="00B51842">
        <w:rPr>
          <w:rFonts w:ascii="Arial" w:hAnsi="Arial" w:cs="Arial"/>
          <w:sz w:val="21"/>
          <w:szCs w:val="21"/>
        </w:rPr>
        <w:t xml:space="preserve"> No caso dos municípios, </w:t>
      </w:r>
      <w:r w:rsidR="00B51842" w:rsidRPr="00043F09">
        <w:rPr>
          <w:rFonts w:ascii="Arial" w:hAnsi="Arial" w:cs="Arial"/>
          <w:sz w:val="21"/>
          <w:szCs w:val="21"/>
        </w:rPr>
        <w:t xml:space="preserve">a última palavra poderá ser </w:t>
      </w:r>
      <w:r w:rsidR="00AE72C5">
        <w:rPr>
          <w:rFonts w:ascii="Arial" w:hAnsi="Arial" w:cs="Arial"/>
          <w:sz w:val="21"/>
          <w:szCs w:val="21"/>
        </w:rPr>
        <w:t>do</w:t>
      </w:r>
      <w:r w:rsidR="00B51842" w:rsidRPr="00043F09">
        <w:rPr>
          <w:rFonts w:ascii="Arial" w:hAnsi="Arial" w:cs="Arial"/>
          <w:sz w:val="21"/>
          <w:szCs w:val="21"/>
        </w:rPr>
        <w:t xml:space="preserve"> próprio chefe do Executivo, o prefeito, visto que muitas dessas cidades não possuem estrutura de tribunais administrativos.</w:t>
      </w:r>
    </w:p>
    <w:p w14:paraId="7FE57821" w14:textId="394E441B" w:rsidR="008D621D" w:rsidRPr="00A01612" w:rsidRDefault="007F4BC0" w:rsidP="007F4BC0">
      <w:pPr>
        <w:spacing w:after="36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A01612">
        <w:rPr>
          <w:rFonts w:ascii="Arial" w:hAnsi="Arial" w:cs="Arial"/>
          <w:sz w:val="21"/>
          <w:szCs w:val="21"/>
        </w:rPr>
        <w:t xml:space="preserve">Em relação </w:t>
      </w:r>
      <w:r w:rsidR="00AE72C5">
        <w:rPr>
          <w:rFonts w:ascii="Arial" w:hAnsi="Arial" w:cs="Arial"/>
          <w:sz w:val="21"/>
          <w:szCs w:val="21"/>
        </w:rPr>
        <w:t>à</w:t>
      </w:r>
      <w:r w:rsidR="000446BD" w:rsidRPr="00A01612">
        <w:rPr>
          <w:rFonts w:ascii="Arial" w:hAnsi="Arial" w:cs="Arial"/>
          <w:sz w:val="21"/>
          <w:szCs w:val="21"/>
        </w:rPr>
        <w:t xml:space="preserve">s novas condições para </w:t>
      </w:r>
      <w:r w:rsidRPr="00A01612">
        <w:rPr>
          <w:rFonts w:ascii="Arial" w:hAnsi="Arial" w:cs="Arial"/>
          <w:sz w:val="21"/>
          <w:szCs w:val="21"/>
        </w:rPr>
        <w:t>fruição d</w:t>
      </w:r>
      <w:r w:rsidR="00E910BB" w:rsidRPr="00A01612">
        <w:rPr>
          <w:rFonts w:ascii="Arial" w:hAnsi="Arial" w:cs="Arial"/>
          <w:sz w:val="21"/>
          <w:szCs w:val="21"/>
        </w:rPr>
        <w:t>os</w:t>
      </w:r>
      <w:r w:rsidRPr="00A01612">
        <w:rPr>
          <w:rFonts w:ascii="Arial" w:hAnsi="Arial" w:cs="Arial"/>
          <w:sz w:val="21"/>
          <w:szCs w:val="21"/>
        </w:rPr>
        <w:t xml:space="preserve"> benefícios fiscais, a MP estabelece o dever de o contribuinte entregar uma declaração eletrônica à Receita Federal do Brasil (RFB), indicando o valor e o tipo de incentivo, renúncia ou benefício fiscal, como isenções ou imunidades de natureza tributária que </w:t>
      </w:r>
      <w:proofErr w:type="spellStart"/>
      <w:r w:rsidRPr="00A01612">
        <w:rPr>
          <w:rFonts w:ascii="Arial" w:hAnsi="Arial" w:cs="Arial"/>
          <w:sz w:val="21"/>
          <w:szCs w:val="21"/>
        </w:rPr>
        <w:t>usufrui</w:t>
      </w:r>
      <w:r w:rsidR="002D70AA">
        <w:rPr>
          <w:rFonts w:ascii="Arial" w:hAnsi="Arial" w:cs="Arial"/>
          <w:sz w:val="21"/>
          <w:szCs w:val="21"/>
        </w:rPr>
        <w:t>a</w:t>
      </w:r>
      <w:proofErr w:type="spellEnd"/>
      <w:r w:rsidR="000446BD" w:rsidRPr="00A01612">
        <w:rPr>
          <w:rFonts w:ascii="Arial" w:hAnsi="Arial" w:cs="Arial"/>
          <w:sz w:val="21"/>
          <w:szCs w:val="21"/>
        </w:rPr>
        <w:t xml:space="preserve">. Essa situação </w:t>
      </w:r>
      <w:r w:rsidRPr="00A01612">
        <w:rPr>
          <w:rFonts w:ascii="Arial" w:hAnsi="Arial" w:cs="Arial"/>
          <w:sz w:val="21"/>
          <w:szCs w:val="21"/>
        </w:rPr>
        <w:t>aument</w:t>
      </w:r>
      <w:r w:rsidR="00332AB3" w:rsidRPr="00A01612">
        <w:rPr>
          <w:rFonts w:ascii="Arial" w:hAnsi="Arial" w:cs="Arial"/>
          <w:sz w:val="21"/>
          <w:szCs w:val="21"/>
        </w:rPr>
        <w:t>a</w:t>
      </w:r>
      <w:r w:rsidRPr="00A01612">
        <w:rPr>
          <w:rFonts w:ascii="Arial" w:hAnsi="Arial" w:cs="Arial"/>
          <w:sz w:val="21"/>
          <w:szCs w:val="21"/>
        </w:rPr>
        <w:t xml:space="preserve"> a burocracia fiscal, </w:t>
      </w:r>
      <w:r w:rsidR="008D621D" w:rsidRPr="00A01612">
        <w:rPr>
          <w:rFonts w:ascii="Arial" w:hAnsi="Arial" w:cs="Arial"/>
          <w:sz w:val="21"/>
          <w:szCs w:val="21"/>
        </w:rPr>
        <w:t>além d</w:t>
      </w:r>
      <w:r w:rsidRPr="00A01612">
        <w:rPr>
          <w:rFonts w:ascii="Arial" w:hAnsi="Arial" w:cs="Arial"/>
          <w:sz w:val="21"/>
          <w:szCs w:val="21"/>
        </w:rPr>
        <w:t>o risco de pagamento de multas pel</w:t>
      </w:r>
      <w:r w:rsidR="00C53218" w:rsidRPr="00A01612">
        <w:rPr>
          <w:rFonts w:ascii="Arial" w:hAnsi="Arial" w:cs="Arial"/>
          <w:sz w:val="21"/>
          <w:szCs w:val="21"/>
        </w:rPr>
        <w:t>o não cumprimento de obrigação acessória, q</w:t>
      </w:r>
      <w:r w:rsidRPr="00A01612">
        <w:rPr>
          <w:rFonts w:ascii="Arial" w:hAnsi="Arial" w:cs="Arial"/>
          <w:sz w:val="21"/>
          <w:szCs w:val="21"/>
        </w:rPr>
        <w:t>ue poder</w:t>
      </w:r>
      <w:r w:rsidR="00C53218" w:rsidRPr="00A01612">
        <w:rPr>
          <w:rFonts w:ascii="Arial" w:hAnsi="Arial" w:cs="Arial"/>
          <w:sz w:val="21"/>
          <w:szCs w:val="21"/>
        </w:rPr>
        <w:t>á</w:t>
      </w:r>
      <w:r w:rsidRPr="00A01612">
        <w:rPr>
          <w:rFonts w:ascii="Arial" w:hAnsi="Arial" w:cs="Arial"/>
          <w:sz w:val="21"/>
          <w:szCs w:val="21"/>
        </w:rPr>
        <w:t xml:space="preserve"> ser entre 0,5% e 1,5% do valor da receita bruta. </w:t>
      </w:r>
    </w:p>
    <w:p w14:paraId="1938ED38" w14:textId="540BF602" w:rsidR="00C4167B" w:rsidRPr="00A01612" w:rsidRDefault="00A6468F" w:rsidP="007F4BC0">
      <w:pPr>
        <w:spacing w:after="36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A01612">
        <w:rPr>
          <w:rFonts w:ascii="Arial" w:hAnsi="Arial" w:cs="Arial"/>
          <w:sz w:val="21"/>
          <w:szCs w:val="21"/>
        </w:rPr>
        <w:t>Ademais, a</w:t>
      </w:r>
      <w:r w:rsidR="00FE2305" w:rsidRPr="00A01612">
        <w:rPr>
          <w:rFonts w:ascii="Arial" w:hAnsi="Arial" w:cs="Arial"/>
          <w:sz w:val="21"/>
          <w:szCs w:val="21"/>
        </w:rPr>
        <w:t xml:space="preserve"> MP </w:t>
      </w:r>
      <w:r w:rsidR="00704D3B" w:rsidRPr="00A01612">
        <w:rPr>
          <w:rFonts w:ascii="Arial" w:hAnsi="Arial" w:cs="Arial"/>
          <w:sz w:val="21"/>
          <w:szCs w:val="21"/>
        </w:rPr>
        <w:t>fixa</w:t>
      </w:r>
      <w:r w:rsidR="00FE2305" w:rsidRPr="00A01612">
        <w:rPr>
          <w:rFonts w:ascii="Arial" w:hAnsi="Arial" w:cs="Arial"/>
          <w:sz w:val="21"/>
          <w:szCs w:val="21"/>
        </w:rPr>
        <w:t xml:space="preserve"> condições de regularidades cadastrais e fiscais para o</w:t>
      </w:r>
      <w:r w:rsidR="00C4167B" w:rsidRPr="00A01612">
        <w:rPr>
          <w:rFonts w:ascii="Arial" w:hAnsi="Arial" w:cs="Arial"/>
          <w:sz w:val="21"/>
          <w:szCs w:val="21"/>
        </w:rPr>
        <w:t xml:space="preserve"> produtor rural e a agroindústria</w:t>
      </w:r>
      <w:r w:rsidR="00FE2305" w:rsidRPr="00A01612">
        <w:rPr>
          <w:rFonts w:ascii="Arial" w:hAnsi="Arial" w:cs="Arial"/>
          <w:sz w:val="21"/>
          <w:szCs w:val="21"/>
        </w:rPr>
        <w:t xml:space="preserve"> usufruírem de benefícios fiscais, </w:t>
      </w:r>
      <w:r w:rsidR="00704D3B" w:rsidRPr="00A01612">
        <w:rPr>
          <w:rFonts w:ascii="Arial" w:hAnsi="Arial" w:cs="Arial"/>
          <w:sz w:val="21"/>
          <w:szCs w:val="21"/>
        </w:rPr>
        <w:t>o</w:t>
      </w:r>
      <w:r w:rsidR="00B039A7">
        <w:rPr>
          <w:rFonts w:ascii="Arial" w:hAnsi="Arial" w:cs="Arial"/>
          <w:sz w:val="21"/>
          <w:szCs w:val="21"/>
        </w:rPr>
        <w:t>neran</w:t>
      </w:r>
      <w:r w:rsidR="00704D3B" w:rsidRPr="00A01612">
        <w:rPr>
          <w:rFonts w:ascii="Arial" w:hAnsi="Arial" w:cs="Arial"/>
          <w:sz w:val="21"/>
          <w:szCs w:val="21"/>
        </w:rPr>
        <w:t>do a atividade</w:t>
      </w:r>
      <w:r w:rsidR="00B039A7">
        <w:rPr>
          <w:rFonts w:ascii="Arial" w:hAnsi="Arial" w:cs="Arial"/>
          <w:sz w:val="21"/>
          <w:szCs w:val="21"/>
        </w:rPr>
        <w:t xml:space="preserve"> produtiva</w:t>
      </w:r>
      <w:r w:rsidR="00C4167B" w:rsidRPr="00A01612">
        <w:rPr>
          <w:rFonts w:ascii="Arial" w:hAnsi="Arial" w:cs="Arial"/>
          <w:sz w:val="21"/>
          <w:szCs w:val="21"/>
        </w:rPr>
        <w:t>, pois</w:t>
      </w:r>
      <w:r w:rsidR="00704D3B" w:rsidRPr="00A01612">
        <w:rPr>
          <w:rFonts w:ascii="Arial" w:hAnsi="Arial" w:cs="Arial"/>
          <w:sz w:val="21"/>
          <w:szCs w:val="21"/>
        </w:rPr>
        <w:t>,</w:t>
      </w:r>
      <w:r w:rsidR="00C4167B" w:rsidRPr="00A01612">
        <w:rPr>
          <w:rFonts w:ascii="Arial" w:hAnsi="Arial" w:cs="Arial"/>
          <w:sz w:val="21"/>
          <w:szCs w:val="21"/>
        </w:rPr>
        <w:t xml:space="preserve"> caso haja algum tributo em aberto ou inscri</w:t>
      </w:r>
      <w:r w:rsidR="001058F8">
        <w:rPr>
          <w:rFonts w:ascii="Arial" w:hAnsi="Arial" w:cs="Arial"/>
          <w:sz w:val="21"/>
          <w:szCs w:val="21"/>
        </w:rPr>
        <w:t>t</w:t>
      </w:r>
      <w:r w:rsidR="00C4167B" w:rsidRPr="00A01612">
        <w:rPr>
          <w:rFonts w:ascii="Arial" w:hAnsi="Arial" w:cs="Arial"/>
          <w:sz w:val="21"/>
          <w:szCs w:val="21"/>
        </w:rPr>
        <w:t xml:space="preserve">o no CADIN </w:t>
      </w:r>
      <w:r w:rsidR="001058F8">
        <w:rPr>
          <w:rFonts w:ascii="Arial" w:hAnsi="Arial" w:cs="Arial"/>
          <w:sz w:val="21"/>
          <w:szCs w:val="21"/>
        </w:rPr>
        <w:t>(</w:t>
      </w:r>
      <w:r w:rsidR="00704D3B" w:rsidRPr="00A01612">
        <w:rPr>
          <w:rFonts w:ascii="Arial" w:hAnsi="Arial" w:cs="Arial"/>
          <w:sz w:val="21"/>
          <w:szCs w:val="21"/>
        </w:rPr>
        <w:t xml:space="preserve">ainda </w:t>
      </w:r>
      <w:r w:rsidR="00C4167B" w:rsidRPr="00A01612">
        <w:rPr>
          <w:rFonts w:ascii="Arial" w:hAnsi="Arial" w:cs="Arial"/>
          <w:sz w:val="21"/>
          <w:szCs w:val="21"/>
        </w:rPr>
        <w:t xml:space="preserve">que </w:t>
      </w:r>
      <w:r w:rsidR="001058F8">
        <w:rPr>
          <w:rFonts w:ascii="Arial" w:hAnsi="Arial" w:cs="Arial"/>
          <w:sz w:val="21"/>
          <w:szCs w:val="21"/>
        </w:rPr>
        <w:t xml:space="preserve">seja </w:t>
      </w:r>
      <w:r w:rsidR="00C4167B" w:rsidRPr="00A01612">
        <w:rPr>
          <w:rFonts w:ascii="Arial" w:hAnsi="Arial" w:cs="Arial"/>
          <w:sz w:val="21"/>
          <w:szCs w:val="21"/>
        </w:rPr>
        <w:t>indevid</w:t>
      </w:r>
      <w:r w:rsidR="001058F8">
        <w:rPr>
          <w:rFonts w:ascii="Arial" w:hAnsi="Arial" w:cs="Arial"/>
          <w:sz w:val="21"/>
          <w:szCs w:val="21"/>
        </w:rPr>
        <w:t>o)</w:t>
      </w:r>
      <w:r w:rsidR="00C4167B" w:rsidRPr="00A01612">
        <w:rPr>
          <w:rFonts w:ascii="Arial" w:hAnsi="Arial" w:cs="Arial"/>
          <w:sz w:val="21"/>
          <w:szCs w:val="21"/>
        </w:rPr>
        <w:t xml:space="preserve">, não será </w:t>
      </w:r>
      <w:r w:rsidR="00C4167B" w:rsidRPr="00A01612">
        <w:rPr>
          <w:rFonts w:ascii="Arial" w:hAnsi="Arial" w:cs="Arial"/>
          <w:sz w:val="21"/>
          <w:szCs w:val="21"/>
        </w:rPr>
        <w:lastRenderedPageBreak/>
        <w:t>possível usar os benefícios fiscais a que se tem direito – causando transtornos nas operações e aumento indevido dos custos tributários e de produção.</w:t>
      </w:r>
    </w:p>
    <w:p w14:paraId="04BEA07D" w14:textId="67F59513" w:rsidR="008D621D" w:rsidRPr="00A01612" w:rsidRDefault="007F4BC0" w:rsidP="007F4BC0">
      <w:pPr>
        <w:spacing w:after="36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A01612">
        <w:rPr>
          <w:rFonts w:ascii="Arial" w:hAnsi="Arial" w:cs="Arial"/>
          <w:sz w:val="21"/>
          <w:szCs w:val="21"/>
        </w:rPr>
        <w:t xml:space="preserve">Por último, no que se refere </w:t>
      </w:r>
      <w:r w:rsidR="002D70AA">
        <w:rPr>
          <w:rFonts w:ascii="Arial" w:hAnsi="Arial" w:cs="Arial"/>
          <w:sz w:val="21"/>
          <w:szCs w:val="21"/>
        </w:rPr>
        <w:t>à</w:t>
      </w:r>
      <w:r w:rsidRPr="00A01612">
        <w:rPr>
          <w:rFonts w:ascii="Arial" w:hAnsi="Arial" w:cs="Arial"/>
          <w:sz w:val="21"/>
          <w:szCs w:val="21"/>
        </w:rPr>
        <w:t>s vedações das regras de compensação</w:t>
      </w:r>
      <w:r w:rsidRPr="00A01612">
        <w:rPr>
          <w:rStyle w:val="Refdenotaderodap"/>
          <w:rFonts w:ascii="Arial" w:hAnsi="Arial" w:cs="Arial"/>
          <w:sz w:val="21"/>
          <w:szCs w:val="21"/>
        </w:rPr>
        <w:footnoteReference w:id="1"/>
      </w:r>
      <w:r w:rsidR="008D621D" w:rsidRPr="00A01612">
        <w:rPr>
          <w:rFonts w:ascii="Arial" w:hAnsi="Arial" w:cs="Arial"/>
          <w:sz w:val="21"/>
          <w:szCs w:val="21"/>
        </w:rPr>
        <w:t>,</w:t>
      </w:r>
      <w:r w:rsidRPr="00A01612">
        <w:rPr>
          <w:rFonts w:ascii="Arial" w:hAnsi="Arial" w:cs="Arial"/>
          <w:sz w:val="21"/>
          <w:szCs w:val="21"/>
        </w:rPr>
        <w:t xml:space="preserve"> </w:t>
      </w:r>
      <w:r w:rsidR="008D621D" w:rsidRPr="00A01612">
        <w:rPr>
          <w:rFonts w:ascii="Arial" w:hAnsi="Arial" w:cs="Arial"/>
          <w:sz w:val="21"/>
          <w:szCs w:val="21"/>
        </w:rPr>
        <w:t xml:space="preserve">a </w:t>
      </w:r>
      <w:r w:rsidR="004F7C13">
        <w:rPr>
          <w:rFonts w:ascii="Arial" w:hAnsi="Arial" w:cs="Arial"/>
          <w:sz w:val="21"/>
          <w:szCs w:val="21"/>
        </w:rPr>
        <w:t>medida</w:t>
      </w:r>
      <w:r w:rsidR="008D621D" w:rsidRPr="00A01612">
        <w:rPr>
          <w:rFonts w:ascii="Arial" w:hAnsi="Arial" w:cs="Arial"/>
          <w:sz w:val="21"/>
          <w:szCs w:val="21"/>
        </w:rPr>
        <w:t xml:space="preserve"> impacta no fluxo de caixa dos contribuintes, pois a impossibilidade da compensação cruzada dos créditos de PIS/COFINS obriga o pagamento, em dinheiro, de outros tributos administrados pela RFB, desfalcando </w:t>
      </w:r>
      <w:r w:rsidR="00562EE0">
        <w:rPr>
          <w:rFonts w:ascii="Arial" w:hAnsi="Arial" w:cs="Arial"/>
          <w:sz w:val="21"/>
          <w:szCs w:val="21"/>
        </w:rPr>
        <w:t>as finanças d</w:t>
      </w:r>
      <w:r w:rsidR="008D621D" w:rsidRPr="00A01612">
        <w:rPr>
          <w:rFonts w:ascii="Arial" w:hAnsi="Arial" w:cs="Arial"/>
          <w:sz w:val="21"/>
          <w:szCs w:val="21"/>
        </w:rPr>
        <w:t>os contribuintes de forma inesperada, alhei</w:t>
      </w:r>
      <w:r w:rsidR="002D70AA">
        <w:rPr>
          <w:rFonts w:ascii="Arial" w:hAnsi="Arial" w:cs="Arial"/>
          <w:sz w:val="21"/>
          <w:szCs w:val="21"/>
        </w:rPr>
        <w:t>a</w:t>
      </w:r>
      <w:r w:rsidR="008D621D" w:rsidRPr="00A01612">
        <w:rPr>
          <w:rFonts w:ascii="Arial" w:hAnsi="Arial" w:cs="Arial"/>
          <w:sz w:val="21"/>
          <w:szCs w:val="21"/>
        </w:rPr>
        <w:t xml:space="preserve"> a qualquer previsão e planejamento</w:t>
      </w:r>
    </w:p>
    <w:p w14:paraId="20B77F77" w14:textId="61F5E556" w:rsidR="007F4BC0" w:rsidRPr="00A01612" w:rsidRDefault="00A5187A" w:rsidP="007F4BC0">
      <w:pPr>
        <w:spacing w:after="36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A01612">
        <w:rPr>
          <w:rFonts w:ascii="Arial" w:hAnsi="Arial" w:cs="Arial"/>
          <w:sz w:val="21"/>
          <w:szCs w:val="21"/>
        </w:rPr>
        <w:t xml:space="preserve">Quanto </w:t>
      </w:r>
      <w:r w:rsidR="002D70AA">
        <w:rPr>
          <w:rFonts w:ascii="Arial" w:hAnsi="Arial" w:cs="Arial"/>
          <w:sz w:val="21"/>
          <w:szCs w:val="21"/>
        </w:rPr>
        <w:t>à</w:t>
      </w:r>
      <w:r w:rsidRPr="00A01612">
        <w:rPr>
          <w:rFonts w:ascii="Arial" w:hAnsi="Arial" w:cs="Arial"/>
          <w:sz w:val="21"/>
          <w:szCs w:val="21"/>
        </w:rPr>
        <w:t xml:space="preserve"> vedação ao</w:t>
      </w:r>
      <w:r w:rsidR="007F4BC0" w:rsidRPr="00A01612">
        <w:rPr>
          <w:rFonts w:ascii="Arial" w:hAnsi="Arial" w:cs="Arial"/>
          <w:sz w:val="21"/>
          <w:szCs w:val="21"/>
        </w:rPr>
        <w:t xml:space="preserve"> ressarcimento</w:t>
      </w:r>
      <w:r w:rsidR="008D621D" w:rsidRPr="00A01612">
        <w:rPr>
          <w:rStyle w:val="Refdenotaderodap"/>
          <w:rFonts w:ascii="Arial" w:hAnsi="Arial" w:cs="Arial"/>
          <w:sz w:val="21"/>
          <w:szCs w:val="21"/>
        </w:rPr>
        <w:footnoteReference w:id="2"/>
      </w:r>
      <w:r w:rsidR="007F4BC0" w:rsidRPr="00A01612">
        <w:rPr>
          <w:rFonts w:ascii="Arial" w:hAnsi="Arial" w:cs="Arial"/>
          <w:sz w:val="21"/>
          <w:szCs w:val="21"/>
        </w:rPr>
        <w:t xml:space="preserve"> do</w:t>
      </w:r>
      <w:r w:rsidR="00DC23AE" w:rsidRPr="00A01612">
        <w:rPr>
          <w:rFonts w:ascii="Arial" w:hAnsi="Arial" w:cs="Arial"/>
          <w:sz w:val="21"/>
          <w:szCs w:val="21"/>
        </w:rPr>
        <w:t xml:space="preserve"> acumulo do</w:t>
      </w:r>
      <w:r w:rsidR="007F4BC0" w:rsidRPr="00A01612">
        <w:rPr>
          <w:rFonts w:ascii="Arial" w:hAnsi="Arial" w:cs="Arial"/>
          <w:sz w:val="21"/>
          <w:szCs w:val="21"/>
        </w:rPr>
        <w:t xml:space="preserve">s créditos </w:t>
      </w:r>
      <w:r w:rsidR="00DC23AE" w:rsidRPr="00A01612">
        <w:rPr>
          <w:rFonts w:ascii="Arial" w:hAnsi="Arial" w:cs="Arial"/>
          <w:sz w:val="21"/>
          <w:szCs w:val="21"/>
        </w:rPr>
        <w:t xml:space="preserve">presumidos </w:t>
      </w:r>
      <w:r w:rsidR="007F4BC0" w:rsidRPr="00A01612">
        <w:rPr>
          <w:rFonts w:ascii="Arial" w:hAnsi="Arial" w:cs="Arial"/>
          <w:sz w:val="21"/>
          <w:szCs w:val="21"/>
        </w:rPr>
        <w:t>(como ocorre com exportadores ou culturas de cadeias curtas), o contribuinte não poderá contar com respectivo ressarcimento, aumentando o seu custo tributário que, por sua vez, irá encarecer o produto ao consumidor final.</w:t>
      </w:r>
    </w:p>
    <w:p w14:paraId="1BC0C00A" w14:textId="1647FF91" w:rsidR="007F4BC0" w:rsidRPr="00A01612" w:rsidRDefault="007F4BC0" w:rsidP="007F4BC0">
      <w:pPr>
        <w:spacing w:after="36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A01612">
        <w:rPr>
          <w:rFonts w:ascii="Arial" w:hAnsi="Arial" w:cs="Arial"/>
          <w:sz w:val="21"/>
          <w:szCs w:val="21"/>
        </w:rPr>
        <w:t>Diante dessas considerações, a Federação da Agricultura e Pecuária do Estado de Mato Grosso espera que a Medida Provisória 1.227/24 sej</w:t>
      </w:r>
      <w:r w:rsidR="00B6373C">
        <w:rPr>
          <w:rFonts w:ascii="Arial" w:hAnsi="Arial" w:cs="Arial"/>
          <w:sz w:val="21"/>
          <w:szCs w:val="21"/>
        </w:rPr>
        <w:t>a</w:t>
      </w:r>
      <w:r w:rsidRPr="00A01612">
        <w:rPr>
          <w:rFonts w:ascii="Arial" w:hAnsi="Arial" w:cs="Arial"/>
          <w:sz w:val="21"/>
          <w:szCs w:val="21"/>
        </w:rPr>
        <w:t xml:space="preserve"> </w:t>
      </w:r>
      <w:r w:rsidR="00C76C75">
        <w:rPr>
          <w:rFonts w:ascii="Arial" w:hAnsi="Arial" w:cs="Arial"/>
          <w:sz w:val="21"/>
          <w:szCs w:val="21"/>
        </w:rPr>
        <w:t>imediatamente</w:t>
      </w:r>
      <w:r w:rsidR="00B6373C">
        <w:rPr>
          <w:rFonts w:ascii="Arial" w:hAnsi="Arial" w:cs="Arial"/>
          <w:sz w:val="21"/>
          <w:szCs w:val="21"/>
        </w:rPr>
        <w:t xml:space="preserve"> rechaçada</w:t>
      </w:r>
      <w:r w:rsidRPr="00A01612">
        <w:rPr>
          <w:rFonts w:ascii="Arial" w:hAnsi="Arial" w:cs="Arial"/>
          <w:sz w:val="21"/>
          <w:szCs w:val="21"/>
        </w:rPr>
        <w:t xml:space="preserve">, </w:t>
      </w:r>
      <w:r w:rsidR="00BF72F4">
        <w:rPr>
          <w:rFonts w:ascii="Arial" w:hAnsi="Arial" w:cs="Arial"/>
          <w:sz w:val="21"/>
          <w:szCs w:val="21"/>
        </w:rPr>
        <w:t>de modo a</w:t>
      </w:r>
      <w:r w:rsidRPr="00A01612">
        <w:rPr>
          <w:rFonts w:ascii="Arial" w:hAnsi="Arial" w:cs="Arial"/>
          <w:sz w:val="21"/>
          <w:szCs w:val="21"/>
        </w:rPr>
        <w:t xml:space="preserve"> restabelecer a possibilidade de compensação e ressarcimento dos créditos de PIS/COFINS. Conclamamos os legisladores e demais autoridades </w:t>
      </w:r>
      <w:r w:rsidR="00074518">
        <w:rPr>
          <w:rFonts w:ascii="Arial" w:hAnsi="Arial" w:cs="Arial"/>
          <w:sz w:val="21"/>
          <w:szCs w:val="21"/>
        </w:rPr>
        <w:t xml:space="preserve">a </w:t>
      </w:r>
      <w:r w:rsidRPr="00A01612">
        <w:rPr>
          <w:rFonts w:ascii="Arial" w:hAnsi="Arial" w:cs="Arial"/>
          <w:sz w:val="21"/>
          <w:szCs w:val="21"/>
        </w:rPr>
        <w:t>consider</w:t>
      </w:r>
      <w:r w:rsidR="00074518">
        <w:rPr>
          <w:rFonts w:ascii="Arial" w:hAnsi="Arial" w:cs="Arial"/>
          <w:sz w:val="21"/>
          <w:szCs w:val="21"/>
        </w:rPr>
        <w:t>ar</w:t>
      </w:r>
      <w:r w:rsidR="004C6970">
        <w:rPr>
          <w:rFonts w:ascii="Arial" w:hAnsi="Arial" w:cs="Arial"/>
          <w:sz w:val="21"/>
          <w:szCs w:val="21"/>
        </w:rPr>
        <w:t>em</w:t>
      </w:r>
      <w:r w:rsidRPr="00A01612">
        <w:rPr>
          <w:rFonts w:ascii="Arial" w:hAnsi="Arial" w:cs="Arial"/>
          <w:sz w:val="21"/>
          <w:szCs w:val="21"/>
        </w:rPr>
        <w:t xml:space="preserve"> os impactos negativos dessa Medida Provisória e, em razão disso, tom</w:t>
      </w:r>
      <w:r w:rsidR="00144A86">
        <w:rPr>
          <w:rFonts w:ascii="Arial" w:hAnsi="Arial" w:cs="Arial"/>
          <w:sz w:val="21"/>
          <w:szCs w:val="21"/>
        </w:rPr>
        <w:t>are</w:t>
      </w:r>
      <w:r w:rsidRPr="00A01612">
        <w:rPr>
          <w:rFonts w:ascii="Arial" w:hAnsi="Arial" w:cs="Arial"/>
          <w:sz w:val="21"/>
          <w:szCs w:val="21"/>
        </w:rPr>
        <w:t>m as devidas providências para proteger o setor que sustenta a segurança alimentar e a economia nacional.</w:t>
      </w:r>
    </w:p>
    <w:p w14:paraId="4C93FCB3" w14:textId="15DC1B4E" w:rsidR="007F4BC0" w:rsidRDefault="007F4BC0" w:rsidP="007F4BC0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 w:rsidRPr="00A01612">
        <w:rPr>
          <w:rFonts w:ascii="Arial" w:hAnsi="Arial" w:cs="Arial"/>
          <w:sz w:val="21"/>
          <w:szCs w:val="21"/>
        </w:rPr>
        <w:t>Cuiabá-MT, 0</w:t>
      </w:r>
      <w:r w:rsidR="00B51842">
        <w:rPr>
          <w:rFonts w:ascii="Arial" w:hAnsi="Arial" w:cs="Arial"/>
          <w:sz w:val="21"/>
          <w:szCs w:val="21"/>
        </w:rPr>
        <w:t>7</w:t>
      </w:r>
      <w:r w:rsidRPr="00A01612">
        <w:rPr>
          <w:rFonts w:ascii="Arial" w:hAnsi="Arial" w:cs="Arial"/>
          <w:sz w:val="21"/>
          <w:szCs w:val="21"/>
        </w:rPr>
        <w:t xml:space="preserve"> de junho de 2.024.</w:t>
      </w:r>
    </w:p>
    <w:p w14:paraId="5F57D44B" w14:textId="77777777" w:rsidR="00B51842" w:rsidRPr="00A01612" w:rsidRDefault="00B51842" w:rsidP="007F4BC0">
      <w:pPr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14:paraId="41930BDD" w14:textId="3AC6F96A" w:rsidR="007F4BC0" w:rsidRPr="00A01612" w:rsidRDefault="005F3B2B" w:rsidP="007F4BC0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VILMONDES TOMAIN</w:t>
      </w:r>
    </w:p>
    <w:p w14:paraId="3AFF93FE" w14:textId="3CA35468" w:rsidR="00E56AED" w:rsidRPr="00A01612" w:rsidRDefault="005F3B2B" w:rsidP="00BF72F4">
      <w:pPr>
        <w:spacing w:after="0" w:line="360" w:lineRule="auto"/>
        <w:ind w:firstLine="708"/>
        <w:jc w:val="center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Presidente</w:t>
      </w:r>
      <w:r w:rsidR="007F4BC0" w:rsidRPr="00A01612">
        <w:rPr>
          <w:rFonts w:ascii="Arial" w:hAnsi="Arial" w:cs="Arial"/>
          <w:sz w:val="21"/>
          <w:szCs w:val="21"/>
        </w:rPr>
        <w:t xml:space="preserve"> da Federação da Agricultura e Pecuária de Mato Grosso (Famato)</w:t>
      </w:r>
    </w:p>
    <w:sectPr w:rsidR="00E56AED" w:rsidRPr="00A01612" w:rsidSect="007F4BC0">
      <w:headerReference w:type="default" r:id="rId7"/>
      <w:pgSz w:w="11906" w:h="16838"/>
      <w:pgMar w:top="2787" w:right="1701" w:bottom="269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6AFCA" w14:textId="77777777" w:rsidR="00C42375" w:rsidRDefault="00C42375" w:rsidP="007F4BC0">
      <w:pPr>
        <w:spacing w:after="0" w:line="240" w:lineRule="auto"/>
      </w:pPr>
      <w:r>
        <w:separator/>
      </w:r>
    </w:p>
  </w:endnote>
  <w:endnote w:type="continuationSeparator" w:id="0">
    <w:p w14:paraId="6D55B38D" w14:textId="77777777" w:rsidR="00C42375" w:rsidRDefault="00C42375" w:rsidP="007F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69B0E" w14:textId="77777777" w:rsidR="00C42375" w:rsidRDefault="00C42375" w:rsidP="007F4BC0">
      <w:pPr>
        <w:spacing w:after="0" w:line="240" w:lineRule="auto"/>
      </w:pPr>
      <w:r>
        <w:separator/>
      </w:r>
    </w:p>
  </w:footnote>
  <w:footnote w:type="continuationSeparator" w:id="0">
    <w:p w14:paraId="09E109B4" w14:textId="77777777" w:rsidR="00C42375" w:rsidRDefault="00C42375" w:rsidP="007F4BC0">
      <w:pPr>
        <w:spacing w:after="0" w:line="240" w:lineRule="auto"/>
      </w:pPr>
      <w:r>
        <w:continuationSeparator/>
      </w:r>
    </w:p>
  </w:footnote>
  <w:footnote w:id="1">
    <w:p w14:paraId="03B899C1" w14:textId="77777777" w:rsidR="007F4BC0" w:rsidRPr="004C6970" w:rsidRDefault="007F4BC0" w:rsidP="009E6463">
      <w:pPr>
        <w:pStyle w:val="Textodenotaderodap"/>
        <w:jc w:val="both"/>
        <w:rPr>
          <w:sz w:val="16"/>
          <w:szCs w:val="16"/>
        </w:rPr>
      </w:pPr>
      <w:r w:rsidRPr="004C6970">
        <w:rPr>
          <w:rStyle w:val="Refdenotaderodap"/>
          <w:sz w:val="16"/>
          <w:szCs w:val="16"/>
        </w:rPr>
        <w:footnoteRef/>
      </w:r>
      <w:r w:rsidRPr="004C6970">
        <w:rPr>
          <w:sz w:val="16"/>
          <w:szCs w:val="16"/>
        </w:rPr>
        <w:t xml:space="preserve"> Anulação de débito mediante apresentação de um crédito equivalente</w:t>
      </w:r>
    </w:p>
  </w:footnote>
  <w:footnote w:id="2">
    <w:p w14:paraId="20C445F9" w14:textId="77777777" w:rsidR="008D621D" w:rsidRPr="004C6970" w:rsidRDefault="008D621D" w:rsidP="008D621D">
      <w:pPr>
        <w:pStyle w:val="Textodenotaderodap"/>
        <w:jc w:val="both"/>
        <w:rPr>
          <w:sz w:val="16"/>
          <w:szCs w:val="16"/>
        </w:rPr>
      </w:pPr>
      <w:r w:rsidRPr="004C6970">
        <w:rPr>
          <w:rStyle w:val="Refdenotaderodap"/>
          <w:sz w:val="16"/>
          <w:szCs w:val="16"/>
        </w:rPr>
        <w:footnoteRef/>
      </w:r>
      <w:r w:rsidRPr="004C6970">
        <w:rPr>
          <w:sz w:val="16"/>
          <w:szCs w:val="16"/>
        </w:rPr>
        <w:t xml:space="preserve"> Pagamento em espécie (pecúnia) de um crédito acumulado.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80F08" w14:textId="77777777" w:rsidR="001478CC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AE6650" wp14:editId="7397CA60">
          <wp:simplePos x="0" y="0"/>
          <wp:positionH relativeFrom="column">
            <wp:posOffset>-1118235</wp:posOffset>
          </wp:positionH>
          <wp:positionV relativeFrom="paragraph">
            <wp:posOffset>-438151</wp:posOffset>
          </wp:positionV>
          <wp:extent cx="7624445" cy="11077575"/>
          <wp:effectExtent l="0" t="0" r="0" b="9525"/>
          <wp:wrapNone/>
          <wp:docPr id="8770057" name="Gráfico 8770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690" cy="11077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C0"/>
    <w:rsid w:val="00043F09"/>
    <w:rsid w:val="000446BD"/>
    <w:rsid w:val="00074518"/>
    <w:rsid w:val="001058F8"/>
    <w:rsid w:val="00116DA7"/>
    <w:rsid w:val="00144A86"/>
    <w:rsid w:val="001478CC"/>
    <w:rsid w:val="00162ED8"/>
    <w:rsid w:val="002A279D"/>
    <w:rsid w:val="002D70AA"/>
    <w:rsid w:val="002E64D9"/>
    <w:rsid w:val="00332AB3"/>
    <w:rsid w:val="0040473F"/>
    <w:rsid w:val="004449F1"/>
    <w:rsid w:val="004A0D64"/>
    <w:rsid w:val="004C6970"/>
    <w:rsid w:val="004F7C13"/>
    <w:rsid w:val="00562EE0"/>
    <w:rsid w:val="005F3B2B"/>
    <w:rsid w:val="0062463C"/>
    <w:rsid w:val="00654719"/>
    <w:rsid w:val="006B0CA4"/>
    <w:rsid w:val="00704D3B"/>
    <w:rsid w:val="007A41EB"/>
    <w:rsid w:val="007F4BC0"/>
    <w:rsid w:val="008D621D"/>
    <w:rsid w:val="00910298"/>
    <w:rsid w:val="009C3D57"/>
    <w:rsid w:val="009D07C7"/>
    <w:rsid w:val="009E6463"/>
    <w:rsid w:val="00A01612"/>
    <w:rsid w:val="00A5187A"/>
    <w:rsid w:val="00A6468F"/>
    <w:rsid w:val="00AE72C5"/>
    <w:rsid w:val="00B039A7"/>
    <w:rsid w:val="00B22088"/>
    <w:rsid w:val="00B51842"/>
    <w:rsid w:val="00B6373C"/>
    <w:rsid w:val="00BF72F4"/>
    <w:rsid w:val="00C4167B"/>
    <w:rsid w:val="00C42375"/>
    <w:rsid w:val="00C53218"/>
    <w:rsid w:val="00C76C75"/>
    <w:rsid w:val="00C809C8"/>
    <w:rsid w:val="00D409AD"/>
    <w:rsid w:val="00DC23AE"/>
    <w:rsid w:val="00E56AED"/>
    <w:rsid w:val="00E910BB"/>
    <w:rsid w:val="00F93C4B"/>
    <w:rsid w:val="00FE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1202"/>
  <w15:chartTrackingRefBased/>
  <w15:docId w15:val="{E8E3D380-BD11-4384-9BEF-0D57DFFC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BC0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B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BC0"/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4BC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4BC0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7F4B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FAA15-3674-4083-9C96-8CCD4BEC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Cristovão Martins Junior</dc:creator>
  <cp:keywords/>
  <dc:description/>
  <cp:lastModifiedBy>Marcia</cp:lastModifiedBy>
  <cp:revision>3</cp:revision>
  <cp:lastPrinted>2024-06-10T18:14:00Z</cp:lastPrinted>
  <dcterms:created xsi:type="dcterms:W3CDTF">2024-06-06T21:12:00Z</dcterms:created>
  <dcterms:modified xsi:type="dcterms:W3CDTF">2024-06-10T18:37:00Z</dcterms:modified>
</cp:coreProperties>
</file>